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7" w:lineRule="exact"/>
        <w:rPr>
          <w:sz w:val="24"/>
          <w:szCs w:val="24"/>
          <w:color w:val="auto"/>
        </w:rPr>
      </w:pPr>
    </w:p>
    <w:p>
      <w:pPr>
        <w:ind w:left="340" w:right="1740" w:hanging="332"/>
        <w:spacing w:after="0" w:line="261"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2021</w:t>
      </w:r>
    </w:p>
    <w:p>
      <w:pPr>
        <w:jc w:val="center"/>
        <w:ind w:right="-33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40" w:right="1740" w:hanging="332"/>
        <w:spacing w:after="0" w:line="493"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jc w:val="center"/>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102870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91440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line="200" w:lineRule="exact"/>
        <w:rPr>
          <w:sz w:val="24"/>
          <w:szCs w:val="24"/>
          <w:color w:val="auto"/>
        </w:rPr>
      </w:pPr>
    </w:p>
    <w:p>
      <w:pPr>
        <w:spacing w:after="0" w:line="209"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82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center"/>
        <w:ind w:right="302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30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302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820"/>
          </w:cols>
          <w:pgMar w:left="320" w:top="499" w:right="339" w:bottom="1440" w:gutter="0" w:footer="0" w:header="0"/>
          <w:type w:val="continuous"/>
        </w:sectPr>
      </w:pPr>
    </w:p>
    <w:p>
      <w:pPr>
        <w:spacing w:after="0" w:line="30" w:lineRule="exact"/>
        <w:rPr>
          <w:sz w:val="24"/>
          <w:szCs w:val="24"/>
          <w:color w:val="auto"/>
        </w:rPr>
      </w:pPr>
    </w:p>
    <w:p>
      <w:pPr>
        <w:jc w:val="center"/>
        <w:ind w:left="374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37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72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27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960" w:space="720"/>
            <w:col w:w="3560"/>
          </w:cols>
          <w:pgMar w:left="320" w:top="499"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499" w:right="3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11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16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1360"/>
        <w:spacing w:after="0"/>
        <w:tabs>
          <w:tab w:leader="none" w:pos="368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900"/>
        <w:spacing w:after="0"/>
        <w:tabs>
          <w:tab w:leader="none" w:pos="438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108585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460" w:space="100"/>
            <w:col w:w="7680"/>
          </w:cols>
          <w:pgMar w:left="320" w:top="499" w:right="339" w:bottom="1440" w:gutter="0" w:footer="0" w:header="0"/>
          <w:type w:val="continuous"/>
        </w:sectPr>
      </w:pPr>
    </w:p>
    <w:p>
      <w:pPr>
        <w:spacing w:after="0" w:line="14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1" w:lineRule="exact"/>
        <w:rPr>
          <w:sz w:val="24"/>
          <w:szCs w:val="24"/>
          <w:color w:val="auto"/>
        </w:rPr>
      </w:pPr>
    </w:p>
    <w:p>
      <w:pPr>
        <w:spacing w:after="0" w:line="207" w:lineRule="exact"/>
        <w:tabs>
          <w:tab w:leader="none" w:pos="964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499" w:right="339" w:bottom="1440" w:gutter="0" w:footer="0" w:header="0"/>
          <w:type w:val="continuous"/>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60" w:space="720"/>
            <w:col w:w="3360"/>
          </w:cols>
          <w:pgMar w:left="320" w:top="499"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December 2, 2021 the registrant had 5,920,351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0" w:type="dxa"/>
            <w:vAlign w:val="bottom"/>
            <w:gridSpan w:val="15"/>
          </w:tcPr>
          <w:p>
            <w:pPr>
              <w:jc w:val="center"/>
              <w:ind w:right="780"/>
              <w:spacing w:after="0"/>
              <w:rPr>
                <w:sz w:val="20"/>
                <w:szCs w:val="20"/>
                <w:color w:val="auto"/>
              </w:rPr>
            </w:pPr>
            <w:r>
              <w:rPr>
                <w:rFonts w:ascii="Arial" w:cs="Arial" w:eastAsia="Arial" w:hAnsi="Arial"/>
                <w:sz w:val="22"/>
                <w:szCs w:val="22"/>
                <w:color w:val="auto"/>
                <w:w w:val="94"/>
              </w:rPr>
              <w:t>REX AMERICAN RESOURCES CORPORATION AND SUBSIDIARIES</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gridSpan w:val="7"/>
          </w:tcPr>
          <w:p>
            <w:pPr>
              <w:jc w:val="center"/>
              <w:ind w:right="3740"/>
              <w:spacing w:after="0"/>
              <w:rPr>
                <w:sz w:val="20"/>
                <w:szCs w:val="20"/>
                <w:color w:val="auto"/>
              </w:rPr>
            </w:pPr>
            <w:r>
              <w:rPr>
                <w:rFonts w:ascii="Arial" w:cs="Arial" w:eastAsia="Arial" w:hAnsi="Arial"/>
                <w:sz w:val="22"/>
                <w:szCs w:val="22"/>
                <w:color w:val="auto"/>
              </w:rPr>
              <w:t>INDEX</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40" w:type="dxa"/>
            <w:vAlign w:val="bottom"/>
            <w:gridSpan w:val="5"/>
            <w:vMerge w:val="restart"/>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PART I.</w:t>
              </w:r>
            </w:hyperlink>
          </w:p>
        </w:tc>
        <w:tc>
          <w:tcPr>
            <w:tcW w:w="8680" w:type="dxa"/>
            <w:vAlign w:val="bottom"/>
            <w:gridSpan w:val="17"/>
            <w:vMerge w:val="restart"/>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142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192"/>
        </w:trPr>
        <w:tc>
          <w:tcPr>
            <w:tcW w:w="1140" w:type="dxa"/>
            <w:vAlign w:val="bottom"/>
            <w:gridSpan w:val="5"/>
            <w:vMerge w:val="continue"/>
          </w:tcPr>
          <w:p>
            <w:pPr>
              <w:spacing w:after="0"/>
              <w:rPr>
                <w:sz w:val="16"/>
                <w:szCs w:val="16"/>
                <w:color w:val="auto"/>
              </w:rPr>
            </w:pPr>
          </w:p>
        </w:tc>
        <w:tc>
          <w:tcPr>
            <w:tcW w:w="8680" w:type="dxa"/>
            <w:vAlign w:val="bottom"/>
            <w:gridSpan w:val="17"/>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
              <w:r>
                <w:rPr>
                  <w:rFonts w:ascii="Arial" w:cs="Arial" w:eastAsia="Arial" w:hAnsi="Arial"/>
                  <w:sz w:val="22"/>
                  <w:szCs w:val="22"/>
                  <w:color w:val="0000EE"/>
                  <w:w w:val="89"/>
                </w:rPr>
                <w:t>Item 1.</w:t>
              </w:r>
            </w:hyperlink>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Statements</w:t>
              </w:r>
            </w:hyperlink>
          </w:p>
        </w:tc>
        <w:tc>
          <w:tcPr>
            <w:tcW w:w="598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Consolidated Condensed Balance Sheets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vMerge w:val="restart"/>
          </w:tcPr>
          <w:p>
            <w:pPr>
              <w:jc w:val="right"/>
              <w:ind w:right="72"/>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Borders>
              <w:bottom w:val="single" w:sz="8" w:color="0000EE"/>
            </w:tcBorders>
            <w:gridSpan w:val="11"/>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Consolidated Condensed Statements of Operations</w:t>
              </w:r>
            </w:hyperlink>
          </w:p>
        </w:tc>
        <w:tc>
          <w:tcPr>
            <w:tcW w:w="4280" w:type="dxa"/>
            <w:vAlign w:val="bottom"/>
            <w:gridSpan w:val="6"/>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80" w:type="dxa"/>
            <w:vAlign w:val="bottom"/>
            <w:gridSpan w:val="17"/>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Consolidated Condensed Statements of Equity</w:t>
              </w:r>
            </w:hyperlink>
          </w:p>
        </w:tc>
        <w:tc>
          <w:tcPr>
            <w:tcW w:w="1420" w:type="dxa"/>
            <w:vAlign w:val="bottom"/>
          </w:tcPr>
          <w:p>
            <w:pPr>
              <w:jc w:val="right"/>
              <w:ind w:right="72"/>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vMerge w:val="restart"/>
          </w:tcPr>
          <w:p>
            <w:pPr>
              <w:jc w:val="right"/>
              <w:ind w:right="72"/>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Borders>
              <w:bottom w:val="single" w:sz="8" w:color="0000EE"/>
            </w:tcBorders>
            <w:gridSpan w:val="12"/>
          </w:tcPr>
          <w:p>
            <w:pPr>
              <w:spacing w:after="0" w:line="223" w:lineRule="exact"/>
              <w:rPr>
                <w:rFonts w:ascii="Arial" w:cs="Arial" w:eastAsia="Arial" w:hAnsi="Arial"/>
                <w:sz w:val="22"/>
                <w:szCs w:val="22"/>
                <w:color w:val="0000EE"/>
                <w:w w:val="87"/>
              </w:rPr>
            </w:pPr>
            <w:hyperlink w:anchor="page7">
              <w:r>
                <w:rPr>
                  <w:rFonts w:ascii="Arial" w:cs="Arial" w:eastAsia="Arial" w:hAnsi="Arial"/>
                  <w:sz w:val="22"/>
                  <w:szCs w:val="22"/>
                  <w:color w:val="0000EE"/>
                  <w:w w:val="87"/>
                </w:rPr>
                <w:t>Consolidated Condensed Statements of Cash Flows</w:t>
              </w:r>
            </w:hyperlink>
          </w:p>
        </w:tc>
        <w:tc>
          <w:tcPr>
            <w:tcW w:w="4220" w:type="dxa"/>
            <w:vAlign w:val="bottom"/>
            <w:gridSpan w:val="5"/>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rFonts w:ascii="Arial" w:cs="Arial" w:eastAsia="Arial" w:hAnsi="Arial"/>
                <w:sz w:val="22"/>
                <w:szCs w:val="22"/>
                <w:color w:val="0000EE"/>
                <w:w w:val="87"/>
              </w:rPr>
            </w:pPr>
            <w:hyperlink w:anchor="page9">
              <w:r>
                <w:rPr>
                  <w:rFonts w:ascii="Arial" w:cs="Arial" w:eastAsia="Arial" w:hAnsi="Arial"/>
                  <w:sz w:val="22"/>
                  <w:szCs w:val="22"/>
                  <w:color w:val="0000EE"/>
                  <w:w w:val="87"/>
                </w:rPr>
                <w:t>Notes to Consolidated Condensed Financial Statements</w:t>
              </w:r>
            </w:hyperlink>
          </w:p>
        </w:tc>
        <w:tc>
          <w:tcPr>
            <w:tcW w:w="3880" w:type="dxa"/>
            <w:vAlign w:val="bottom"/>
            <w:gridSpan w:val="4"/>
          </w:tcPr>
          <w:p>
            <w:pPr>
              <w:spacing w:after="0"/>
              <w:rPr>
                <w:sz w:val="19"/>
                <w:szCs w:val="19"/>
                <w:color w:val="auto"/>
              </w:rPr>
            </w:pPr>
          </w:p>
        </w:tc>
        <w:tc>
          <w:tcPr>
            <w:tcW w:w="1420" w:type="dxa"/>
            <w:vAlign w:val="bottom"/>
          </w:tcPr>
          <w:p>
            <w:pPr>
              <w:jc w:val="right"/>
              <w:ind w:right="72"/>
              <w:spacing w:after="0" w:line="22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rFonts w:ascii="Arial" w:cs="Arial" w:eastAsia="Arial" w:hAnsi="Arial"/>
                <w:sz w:val="22"/>
                <w:szCs w:val="22"/>
                <w:color w:val="0000EE"/>
                <w:w w:val="89"/>
              </w:rPr>
            </w:pPr>
            <w:hyperlink w:anchor="page26">
              <w:r>
                <w:rPr>
                  <w:rFonts w:ascii="Arial" w:cs="Arial" w:eastAsia="Arial" w:hAnsi="Arial"/>
                  <w:sz w:val="22"/>
                  <w:szCs w:val="22"/>
                  <w:color w:val="0000EE"/>
                  <w:w w:val="89"/>
                </w:rPr>
                <w:t>Item 2.</w:t>
              </w:r>
            </w:hyperlink>
          </w:p>
        </w:tc>
        <w:tc>
          <w:tcPr>
            <w:tcW w:w="52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rFonts w:ascii="Arial" w:cs="Arial" w:eastAsia="Arial" w:hAnsi="Arial"/>
                <w:sz w:val="22"/>
                <w:szCs w:val="22"/>
                <w:color w:val="0000EE"/>
                <w:w w:val="89"/>
              </w:rPr>
            </w:pPr>
            <w:hyperlink w:anchor="page26">
              <w:r>
                <w:rPr>
                  <w:rFonts w:ascii="Arial" w:cs="Arial" w:eastAsia="Arial" w:hAnsi="Arial"/>
                  <w:sz w:val="22"/>
                  <w:szCs w:val="22"/>
                  <w:color w:val="0000EE"/>
                  <w:w w:val="89"/>
                </w:rPr>
                <w:t>Management’s Discussion and Analysis of Financial Condition and Results of Operations</w:t>
              </w:r>
            </w:hyperlink>
          </w:p>
        </w:tc>
        <w:tc>
          <w:tcPr>
            <w:tcW w:w="92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rFonts w:ascii="Arial" w:cs="Arial" w:eastAsia="Arial" w:hAnsi="Arial"/>
                <w:sz w:val="22"/>
                <w:szCs w:val="22"/>
                <w:color w:val="0000EE"/>
                <w:w w:val="89"/>
              </w:rPr>
            </w:pPr>
            <w:hyperlink w:anchor="page40">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22"/>
                <w:szCs w:val="22"/>
                <w:color w:val="0000EE"/>
                <w:w w:val="90"/>
              </w:rPr>
            </w:pPr>
            <w:hyperlink w:anchor="page40">
              <w:r>
                <w:rPr>
                  <w:rFonts w:ascii="Arial" w:cs="Arial" w:eastAsia="Arial" w:hAnsi="Arial"/>
                  <w:sz w:val="22"/>
                  <w:szCs w:val="22"/>
                  <w:color w:val="0000EE"/>
                  <w:w w:val="90"/>
                </w:rPr>
                <w:t>Quantitative and Qualitative Disclosures About Market Risk</w:t>
              </w:r>
            </w:hyperlink>
          </w:p>
        </w:tc>
        <w:tc>
          <w:tcPr>
            <w:tcW w:w="3440" w:type="dxa"/>
            <w:vAlign w:val="bottom"/>
            <w:gridSpan w:val="2"/>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40">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40">
              <w:r>
                <w:rPr>
                  <w:rFonts w:ascii="Arial" w:cs="Arial" w:eastAsia="Arial" w:hAnsi="Arial"/>
                  <w:sz w:val="22"/>
                  <w:szCs w:val="22"/>
                  <w:color w:val="0000EE"/>
                </w:rPr>
                <w:t>Controls and Procedures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rFonts w:ascii="Arial" w:cs="Arial" w:eastAsia="Arial" w:hAnsi="Arial"/>
                <w:sz w:val="22"/>
                <w:szCs w:val="22"/>
                <w:color w:val="0000EE"/>
                <w:w w:val="93"/>
              </w:rPr>
            </w:pPr>
            <w:hyperlink w:anchor="page41">
              <w:r>
                <w:rPr>
                  <w:rFonts w:ascii="Arial" w:cs="Arial" w:eastAsia="Arial" w:hAnsi="Arial"/>
                  <w:sz w:val="22"/>
                  <w:szCs w:val="22"/>
                  <w:color w:val="0000EE"/>
                  <w:w w:val="93"/>
                </w:rPr>
                <w:t>PART II.</w:t>
              </w:r>
            </w:hyperlink>
          </w:p>
        </w:tc>
        <w:tc>
          <w:tcPr>
            <w:tcW w:w="340" w:type="dxa"/>
            <w:vAlign w:val="bottom"/>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OTHER INFORMATION</w:t>
              </w:r>
            </w:hyperlink>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41">
              <w:r>
                <w:rPr>
                  <w:rFonts w:ascii="Arial" w:cs="Arial" w:eastAsia="Arial" w:hAnsi="Arial"/>
                  <w:sz w:val="22"/>
                  <w:szCs w:val="22"/>
                  <w:color w:val="0000EE"/>
                  <w:w w:val="89"/>
                </w:rPr>
                <w:t>Item 1.</w:t>
              </w:r>
            </w:hyperlink>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Legal Proceedings</w:t>
              </w:r>
            </w:hyperlink>
          </w:p>
        </w:tc>
        <w:tc>
          <w:tcPr>
            <w:tcW w:w="6420" w:type="dxa"/>
            <w:vAlign w:val="bottom"/>
            <w:gridSpan w:val="11"/>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rFonts w:ascii="Arial" w:cs="Arial" w:eastAsia="Arial" w:hAnsi="Arial"/>
                <w:sz w:val="22"/>
                <w:szCs w:val="22"/>
                <w:color w:val="0000EE"/>
                <w:w w:val="92"/>
              </w:rPr>
            </w:pPr>
            <w:hyperlink w:anchor="page41">
              <w:r>
                <w:rPr>
                  <w:rFonts w:ascii="Arial" w:cs="Arial" w:eastAsia="Arial" w:hAnsi="Arial"/>
                  <w:sz w:val="22"/>
                  <w:szCs w:val="22"/>
                  <w:color w:val="0000EE"/>
                  <w:w w:val="92"/>
                </w:rPr>
                <w:t>Item 1A.</w:t>
              </w:r>
            </w:hyperlink>
          </w:p>
        </w:tc>
        <w:tc>
          <w:tcPr>
            <w:tcW w:w="360" w:type="dxa"/>
            <w:vAlign w:val="bottom"/>
            <w:gridSpan w:val="2"/>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Risk Factors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41">
              <w:r>
                <w:rPr>
                  <w:rFonts w:ascii="Arial" w:cs="Arial" w:eastAsia="Arial" w:hAnsi="Arial"/>
                  <w:sz w:val="22"/>
                  <w:szCs w:val="22"/>
                  <w:color w:val="0000EE"/>
                  <w:w w:val="89"/>
                </w:rPr>
                <w:t>Item 2.</w:t>
              </w:r>
            </w:hyperlink>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Unregistered Sales of Equity Securities and Use of Proceeds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41">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Defaults upon Senior Securities</w:t>
              </w:r>
            </w:hyperlink>
          </w:p>
        </w:tc>
        <w:tc>
          <w:tcPr>
            <w:tcW w:w="3460" w:type="dxa"/>
            <w:vAlign w:val="bottom"/>
            <w:gridSpan w:val="3"/>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41">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8"/>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Mine Safety Disclosures</w:t>
              </w:r>
            </w:hyperlink>
          </w:p>
        </w:tc>
        <w:tc>
          <w:tcPr>
            <w:tcW w:w="5940" w:type="dxa"/>
            <w:vAlign w:val="bottom"/>
            <w:gridSpan w:val="9"/>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rFonts w:ascii="Arial" w:cs="Arial" w:eastAsia="Arial" w:hAnsi="Arial"/>
                <w:sz w:val="22"/>
                <w:szCs w:val="22"/>
                <w:color w:val="0000EE"/>
                <w:w w:val="89"/>
              </w:rPr>
            </w:pPr>
            <w:hyperlink w:anchor="page41">
              <w:r>
                <w:rPr>
                  <w:rFonts w:ascii="Arial" w:cs="Arial" w:eastAsia="Arial" w:hAnsi="Arial"/>
                  <w:sz w:val="22"/>
                  <w:szCs w:val="22"/>
                  <w:color w:val="0000EE"/>
                  <w:w w:val="89"/>
                </w:rPr>
                <w:t>Item 5.</w:t>
              </w:r>
            </w:hyperlink>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rFonts w:ascii="Arial" w:cs="Arial" w:eastAsia="Arial" w:hAnsi="Arial"/>
                <w:sz w:val="22"/>
                <w:szCs w:val="22"/>
                <w:color w:val="0000EE"/>
                <w:w w:val="91"/>
              </w:rPr>
            </w:pPr>
            <w:hyperlink w:anchor="page41">
              <w:r>
                <w:rPr>
                  <w:rFonts w:ascii="Arial" w:cs="Arial" w:eastAsia="Arial" w:hAnsi="Arial"/>
                  <w:sz w:val="22"/>
                  <w:szCs w:val="22"/>
                  <w:color w:val="0000EE"/>
                  <w:w w:val="91"/>
                </w:rPr>
                <w:t>Other Information</w:t>
              </w:r>
            </w:hyperlink>
          </w:p>
        </w:tc>
        <w:tc>
          <w:tcPr>
            <w:tcW w:w="520" w:type="dxa"/>
            <w:vAlign w:val="bottom"/>
            <w:tcBorders>
              <w:top w:val="single" w:sz="8" w:color="0000EE"/>
            </w:tcBorders>
            <w:gridSpan w:val="2"/>
          </w:tcPr>
          <w:p>
            <w:pPr>
              <w:spacing w:after="0"/>
              <w:rPr>
                <w:sz w:val="24"/>
                <w:szCs w:val="24"/>
                <w:color w:val="auto"/>
              </w:rPr>
            </w:pPr>
          </w:p>
        </w:tc>
        <w:tc>
          <w:tcPr>
            <w:tcW w:w="6560" w:type="dxa"/>
            <w:vAlign w:val="bottom"/>
            <w:gridSpan w:val="12"/>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41">
              <w:r>
                <w:rPr>
                  <w:rFonts w:ascii="Arial" w:cs="Arial" w:eastAsia="Arial" w:hAnsi="Arial"/>
                  <w:sz w:val="22"/>
                  <w:szCs w:val="22"/>
                  <w:color w:val="0000EE"/>
                  <w:w w:val="89"/>
                </w:rPr>
                <w:t>Item 6.</w:t>
              </w:r>
            </w:hyperlink>
          </w:p>
        </w:tc>
        <w:tc>
          <w:tcPr>
            <w:tcW w:w="520" w:type="dxa"/>
            <w:vAlign w:val="bottom"/>
            <w:gridSpan w:val="4"/>
          </w:tcPr>
          <w:p>
            <w:pPr>
              <w:spacing w:after="0"/>
              <w:rPr>
                <w:sz w:val="24"/>
                <w:szCs w:val="24"/>
                <w:color w:val="auto"/>
              </w:rPr>
            </w:pPr>
          </w:p>
        </w:tc>
        <w:tc>
          <w:tcPr>
            <w:tcW w:w="8680" w:type="dxa"/>
            <w:vAlign w:val="bottom"/>
            <w:gridSpan w:val="17"/>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Exhibits</w:t>
              </w:r>
            </w:hyperlink>
          </w:p>
        </w:tc>
        <w:tc>
          <w:tcPr>
            <w:tcW w:w="1420" w:type="dxa"/>
            <w:vAlign w:val="bottom"/>
          </w:tcPr>
          <w:p>
            <w:pPr>
              <w:jc w:val="right"/>
              <w:ind w:right="7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463"/>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80" w:type="dxa"/>
            <w:vAlign w:val="bottom"/>
            <w:gridSpan w:val="12"/>
          </w:tcPr>
          <w:p>
            <w:pPr>
              <w:jc w:val="center"/>
              <w:ind w:left="3352"/>
              <w:spacing w:after="0"/>
              <w:rPr>
                <w:sz w:val="20"/>
                <w:szCs w:val="20"/>
                <w:color w:val="auto"/>
              </w:rPr>
            </w:pPr>
            <w:r>
              <w:rPr>
                <w:rFonts w:ascii="Arial" w:cs="Arial" w:eastAsia="Arial" w:hAnsi="Arial"/>
                <w:sz w:val="22"/>
                <w:szCs w:val="22"/>
                <w:color w:val="auto"/>
                <w:w w:val="81"/>
              </w:rPr>
              <w:t>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826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26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14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24"/>
                <w:szCs w:val="2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194"/>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E5FFFF"/>
          </w:tcPr>
          <w:p>
            <w:pPr>
              <w:jc w:val="right"/>
              <w:ind w:right="41"/>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197,395</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144,501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36,194</w:t>
            </w: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E5FFFF"/>
          </w:tcPr>
          <w:p>
            <w:pPr>
              <w:spacing w:after="0"/>
              <w:rPr>
                <w:sz w:val="18"/>
                <w:szCs w:val="18"/>
                <w:color w:val="auto"/>
              </w:rPr>
            </w:pPr>
          </w:p>
        </w:tc>
        <w:tc>
          <w:tcPr>
            <w:tcW w:w="10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40,026</w:t>
            </w:r>
          </w:p>
        </w:tc>
        <w:tc>
          <w:tcPr>
            <w:tcW w:w="10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19,713</w:t>
            </w: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29,753</w:t>
            </w:r>
          </w:p>
        </w:tc>
        <w:tc>
          <w:tcPr>
            <w:tcW w:w="100" w:type="dxa"/>
            <w:vAlign w:val="bottom"/>
            <w:shd w:val="clear" w:color="auto" w:fill="E5FFFF"/>
          </w:tcPr>
          <w:p>
            <w:pPr>
              <w:spacing w:after="0"/>
              <w:rPr>
                <w:sz w:val="18"/>
                <w:szCs w:val="18"/>
                <w:color w:val="auto"/>
              </w:rPr>
            </w:pPr>
          </w:p>
        </w:tc>
        <w:tc>
          <w:tcPr>
            <w:tcW w:w="1120" w:type="dxa"/>
            <w:vAlign w:val="bottom"/>
            <w:gridSpan w:val="5"/>
            <w:shd w:val="clear" w:color="auto" w:fill="E5FFFF"/>
          </w:tcPr>
          <w:p>
            <w:pPr>
              <w:jc w:val="right"/>
              <w:ind w:right="100"/>
              <w:spacing w:after="0"/>
              <w:rPr>
                <w:sz w:val="20"/>
                <w:szCs w:val="20"/>
                <w:color w:val="auto"/>
              </w:rPr>
            </w:pPr>
            <w:r>
              <w:rPr>
                <w:rFonts w:ascii="Arial" w:cs="Arial" w:eastAsia="Arial" w:hAnsi="Arial"/>
                <w:sz w:val="18"/>
                <w:szCs w:val="18"/>
                <w:color w:val="auto"/>
              </w:rPr>
              <w:t>37,426</w:t>
            </w: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10,389</w:t>
            </w:r>
          </w:p>
        </w:tc>
        <w:tc>
          <w:tcPr>
            <w:tcW w:w="100" w:type="dxa"/>
            <w:vAlign w:val="bottom"/>
            <w:shd w:val="clear" w:color="auto" w:fill="E5FFFF"/>
          </w:tcPr>
          <w:p>
            <w:pPr>
              <w:spacing w:after="0"/>
              <w:rPr>
                <w:sz w:val="18"/>
                <w:szCs w:val="18"/>
                <w:color w:val="auto"/>
              </w:rPr>
            </w:pPr>
          </w:p>
        </w:tc>
        <w:tc>
          <w:tcPr>
            <w:tcW w:w="1120" w:type="dxa"/>
            <w:vAlign w:val="bottom"/>
            <w:gridSpan w:val="5"/>
            <w:shd w:val="clear" w:color="auto" w:fill="E5FFFF"/>
          </w:tcPr>
          <w:p>
            <w:pPr>
              <w:jc w:val="right"/>
              <w:ind w:right="100"/>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Current assets held for sale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9"/>
        </w:trPr>
        <w:tc>
          <w:tcPr>
            <w:tcW w:w="8260" w:type="dxa"/>
            <w:vAlign w:val="bottom"/>
            <w:tcBorders>
              <w:top w:val="single" w:sz="8" w:color="E5FFFF"/>
            </w:tcBorders>
            <w:shd w:val="clear" w:color="auto" w:fill="E5FF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307,242</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0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258,750</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141,205</w:t>
            </w:r>
          </w:p>
        </w:tc>
        <w:tc>
          <w:tcPr>
            <w:tcW w:w="1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150,861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11,817</w:t>
            </w:r>
          </w:p>
        </w:tc>
        <w:tc>
          <w:tcPr>
            <w:tcW w:w="100" w:type="dxa"/>
            <w:vAlign w:val="bottom"/>
            <w:shd w:val="clear" w:color="auto" w:fill="E5FFFF"/>
          </w:tcPr>
          <w:p>
            <w:pPr>
              <w:spacing w:after="0"/>
              <w:rPr>
                <w:sz w:val="18"/>
                <w:szCs w:val="18"/>
                <w:color w:val="auto"/>
              </w:rPr>
            </w:pPr>
          </w:p>
        </w:tc>
        <w:tc>
          <w:tcPr>
            <w:tcW w:w="1120" w:type="dxa"/>
            <w:vAlign w:val="bottom"/>
            <w:gridSpan w:val="5"/>
            <w:shd w:val="clear" w:color="auto" w:fill="E5FFFF"/>
          </w:tcPr>
          <w:p>
            <w:pPr>
              <w:jc w:val="right"/>
              <w:ind w:right="100"/>
              <w:spacing w:after="0"/>
              <w:rPr>
                <w:sz w:val="20"/>
                <w:szCs w:val="20"/>
                <w:color w:val="auto"/>
              </w:rPr>
            </w:pPr>
            <w:r>
              <w:rPr>
                <w:rFonts w:ascii="Arial" w:cs="Arial" w:eastAsia="Arial" w:hAnsi="Arial"/>
                <w:sz w:val="18"/>
                <w:szCs w:val="18"/>
                <w:color w:val="auto"/>
              </w:rPr>
              <w:t>12,678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Deferred taxes and other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33,190</w:t>
            </w:r>
          </w:p>
        </w:tc>
        <w:tc>
          <w:tcPr>
            <w:tcW w:w="10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25,275</w:t>
            </w: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spacing w:after="0"/>
              <w:rPr>
                <w:sz w:val="20"/>
                <w:szCs w:val="20"/>
                <w:color w:val="auto"/>
              </w:rPr>
            </w:pPr>
            <w:r>
              <w:rPr>
                <w:rFonts w:ascii="Arial" w:cs="Arial" w:eastAsia="Arial" w:hAnsi="Arial"/>
                <w:sz w:val="18"/>
                <w:szCs w:val="18"/>
                <w:color w:val="auto"/>
              </w:rPr>
              <w:t>Equity method investment</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30,715</w:t>
            </w:r>
          </w:p>
        </w:tc>
        <w:tc>
          <w:tcPr>
            <w:tcW w:w="100" w:type="dxa"/>
            <w:vAlign w:val="bottom"/>
            <w:shd w:val="clear" w:color="auto" w:fill="E5FFFF"/>
          </w:tcPr>
          <w:p>
            <w:pPr>
              <w:spacing w:after="0"/>
              <w:rPr>
                <w:sz w:val="18"/>
                <w:szCs w:val="18"/>
                <w:color w:val="auto"/>
              </w:rPr>
            </w:pPr>
          </w:p>
        </w:tc>
        <w:tc>
          <w:tcPr>
            <w:tcW w:w="1120" w:type="dxa"/>
            <w:vAlign w:val="bottom"/>
            <w:gridSpan w:val="5"/>
            <w:shd w:val="clear" w:color="auto" w:fill="E5FFFF"/>
          </w:tcPr>
          <w:p>
            <w:pPr>
              <w:jc w:val="right"/>
              <w:ind w:right="100"/>
              <w:spacing w:after="0"/>
              <w:rPr>
                <w:sz w:val="20"/>
                <w:szCs w:val="20"/>
                <w:color w:val="auto"/>
              </w:rPr>
            </w:pPr>
            <w:r>
              <w:rPr>
                <w:rFonts w:ascii="Arial" w:cs="Arial" w:eastAsia="Arial" w:hAnsi="Arial"/>
                <w:sz w:val="18"/>
                <w:szCs w:val="18"/>
                <w:color w:val="auto"/>
              </w:rPr>
              <w:t>29,456</w:t>
            </w:r>
          </w:p>
        </w:tc>
        <w:tc>
          <w:tcPr>
            <w:tcW w:w="0" w:type="dxa"/>
            <w:vAlign w:val="bottom"/>
          </w:tcPr>
          <w:p>
            <w:pPr>
              <w:spacing w:after="0"/>
              <w:rPr>
                <w:sz w:val="1"/>
                <w:szCs w:val="1"/>
                <w:color w:val="auto"/>
              </w:rPr>
            </w:pP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2,325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524,402</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479,345</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w w:val="94"/>
              </w:rPr>
              <w:t>Accounts payable, trade (includes $1.7 million and $0.7 million with related parties at October 31, 2021 and</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January 31, 2021, respectively)</w:t>
            </w:r>
          </w:p>
        </w:tc>
        <w:tc>
          <w:tcPr>
            <w:tcW w:w="500" w:type="dxa"/>
            <w:vAlign w:val="bottom"/>
            <w:gridSpan w:val="2"/>
            <w:shd w:val="clear" w:color="auto" w:fill="E5FFFF"/>
          </w:tcPr>
          <w:p>
            <w:pPr>
              <w:jc w:val="right"/>
              <w:ind w:right="41"/>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27,133</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shd w:val="clear" w:color="auto" w:fill="E5FFFF"/>
          </w:tcPr>
          <w:p>
            <w:pPr>
              <w:jc w:val="right"/>
              <w:ind w:right="100"/>
              <w:spacing w:after="0"/>
              <w:rPr>
                <w:sz w:val="20"/>
                <w:szCs w:val="20"/>
                <w:color w:val="auto"/>
              </w:rPr>
            </w:pPr>
            <w:r>
              <w:rPr>
                <w:rFonts w:ascii="Arial" w:cs="Arial" w:eastAsia="Arial" w:hAnsi="Arial"/>
                <w:sz w:val="18"/>
                <w:szCs w:val="18"/>
                <w:color w:val="auto"/>
              </w:rPr>
              <w:t>16,573</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E5FFFF"/>
          </w:tcPr>
          <w:p>
            <w:pPr>
              <w:spacing w:after="0"/>
              <w:rPr>
                <w:sz w:val="18"/>
                <w:szCs w:val="18"/>
                <w:color w:val="auto"/>
              </w:rPr>
            </w:pPr>
          </w:p>
        </w:tc>
        <w:tc>
          <w:tcPr>
            <w:tcW w:w="10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8,754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60"/>
              <w:spacing w:after="0"/>
              <w:rPr>
                <w:sz w:val="20"/>
                <w:szCs w:val="20"/>
                <w:color w:val="auto"/>
              </w:rPr>
            </w:pPr>
            <w:r>
              <w:rPr>
                <w:rFonts w:ascii="Arial" w:cs="Arial" w:eastAsia="Arial" w:hAnsi="Arial"/>
                <w:sz w:val="18"/>
                <w:szCs w:val="18"/>
                <w:color w:val="auto"/>
              </w:rPr>
              <w:t>Current liabilities held for sale (includes $0.1 million with related parties at January 31, 2021)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8260" w:type="dxa"/>
            <w:vAlign w:val="bottom"/>
            <w:tcBorders>
              <w:top w:val="single" w:sz="8" w:color="E5FFFF"/>
            </w:tcBorders>
            <w:shd w:val="clear" w:color="auto" w:fill="E5FF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46,535</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taxes</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E5FFFF"/>
          </w:tcPr>
          <w:p>
            <w:pPr>
              <w:spacing w:after="0"/>
              <w:rPr>
                <w:sz w:val="18"/>
                <w:szCs w:val="18"/>
                <w:color w:val="auto"/>
              </w:rPr>
            </w:pPr>
          </w:p>
        </w:tc>
        <w:tc>
          <w:tcPr>
            <w:tcW w:w="10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3,713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7,439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E5FFFF"/>
          </w:tcPr>
          <w:p>
            <w:pPr>
              <w:spacing w:after="0"/>
              <w:rPr>
                <w:sz w:val="19"/>
                <w:szCs w:val="19"/>
                <w:color w:val="auto"/>
              </w:rPr>
            </w:pPr>
          </w:p>
        </w:tc>
        <w:tc>
          <w:tcPr>
            <w:tcW w:w="1120" w:type="dxa"/>
            <w:vAlign w:val="bottom"/>
            <w:gridSpan w:val="5"/>
            <w:shd w:val="clear" w:color="auto" w:fill="E5FF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13,164</w:t>
            </w:r>
          </w:p>
        </w:tc>
        <w:tc>
          <w:tcPr>
            <w:tcW w:w="440" w:type="dxa"/>
            <w:vAlign w:val="bottom"/>
            <w:tcBorders>
              <w:bottom w:val="single" w:sz="8" w:color="E5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11,425</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REX shareholders’ equity: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E5FFFF"/>
          </w:tcPr>
          <w:p>
            <w:pPr>
              <w:ind w:left="50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E5FFFF"/>
          </w:tcPr>
          <w:p>
            <w:pPr>
              <w:spacing w:after="0"/>
              <w:rPr>
                <w:sz w:val="18"/>
                <w:szCs w:val="18"/>
                <w:color w:val="auto"/>
              </w:rPr>
            </w:pPr>
          </w:p>
        </w:tc>
        <w:tc>
          <w:tcPr>
            <w:tcW w:w="1120" w:type="dxa"/>
            <w:vAlign w:val="bottom"/>
            <w:gridSpan w:val="5"/>
            <w:shd w:val="clear" w:color="auto" w:fill="E5FF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149,299</w:t>
            </w:r>
          </w:p>
        </w:tc>
        <w:tc>
          <w:tcPr>
            <w:tcW w:w="10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149,110</w:t>
            </w:r>
          </w:p>
        </w:tc>
        <w:tc>
          <w:tcPr>
            <w:tcW w:w="0" w:type="dxa"/>
            <w:vAlign w:val="bottom"/>
          </w:tcPr>
          <w:p>
            <w:pPr>
              <w:spacing w:after="0"/>
              <w:rPr>
                <w:sz w:val="1"/>
                <w:szCs w:val="1"/>
                <w:color w:val="auto"/>
              </w:rPr>
            </w:pPr>
          </w:p>
        </w:tc>
      </w:tr>
      <w:tr>
        <w:trPr>
          <w:trHeight w:val="230"/>
        </w:trPr>
        <w:tc>
          <w:tcPr>
            <w:tcW w:w="8260" w:type="dxa"/>
            <w:vAlign w:val="bottom"/>
            <w:shd w:val="clear" w:color="auto" w:fill="E5FFFF"/>
          </w:tcPr>
          <w:p>
            <w:pPr>
              <w:ind w:left="5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60" w:type="dxa"/>
            <w:vAlign w:val="bottom"/>
            <w:gridSpan w:val="4"/>
            <w:shd w:val="clear" w:color="auto" w:fill="E5FFFF"/>
          </w:tcPr>
          <w:p>
            <w:pPr>
              <w:jc w:val="right"/>
              <w:ind w:right="440"/>
              <w:spacing w:after="0"/>
              <w:rPr>
                <w:sz w:val="20"/>
                <w:szCs w:val="20"/>
                <w:color w:val="auto"/>
              </w:rPr>
            </w:pPr>
            <w:r>
              <w:rPr>
                <w:rFonts w:ascii="Arial" w:cs="Arial" w:eastAsia="Arial" w:hAnsi="Arial"/>
                <w:sz w:val="18"/>
                <w:szCs w:val="18"/>
                <w:color w:val="auto"/>
              </w:rPr>
              <w:t>620,924</w:t>
            </w:r>
          </w:p>
        </w:tc>
        <w:tc>
          <w:tcPr>
            <w:tcW w:w="100" w:type="dxa"/>
            <w:vAlign w:val="bottom"/>
            <w:shd w:val="clear" w:color="auto" w:fill="E5FFFF"/>
          </w:tcPr>
          <w:p>
            <w:pPr>
              <w:spacing w:after="0"/>
              <w:rPr>
                <w:sz w:val="19"/>
                <w:szCs w:val="19"/>
                <w:color w:val="auto"/>
              </w:rPr>
            </w:pPr>
          </w:p>
        </w:tc>
        <w:tc>
          <w:tcPr>
            <w:tcW w:w="104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589,986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Treasury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(361,199)</w:t>
            </w:r>
          </w:p>
        </w:tc>
        <w:tc>
          <w:tcPr>
            <w:tcW w:w="10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(354,612)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Borders>
              <w:top w:val="single" w:sz="8" w:color="E5FFFF"/>
            </w:tcBorders>
            <w:shd w:val="clear" w:color="auto" w:fill="E5FFFF"/>
          </w:tcPr>
          <w:p>
            <w:pPr>
              <w:ind w:left="740"/>
              <w:spacing w:after="0"/>
              <w:rPr>
                <w:sz w:val="20"/>
                <w:szCs w:val="20"/>
                <w:color w:val="auto"/>
              </w:rPr>
            </w:pPr>
            <w:r>
              <w:rPr>
                <w:rFonts w:ascii="Arial" w:cs="Arial" w:eastAsia="Arial" w:hAnsi="Arial"/>
                <w:sz w:val="18"/>
                <w:szCs w:val="18"/>
                <w:color w:val="auto"/>
              </w:rPr>
              <w:t>Total REX shareholders’ equity</w:t>
            </w:r>
          </w:p>
        </w:tc>
        <w:tc>
          <w:tcPr>
            <w:tcW w:w="3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409,323</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0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384,783</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55,380</w:t>
            </w:r>
          </w:p>
        </w:tc>
        <w:tc>
          <w:tcPr>
            <w:tcW w:w="100" w:type="dxa"/>
            <w:vAlign w:val="bottom"/>
          </w:tcPr>
          <w:p>
            <w:pPr>
              <w:spacing w:after="0"/>
              <w:rPr>
                <w:sz w:val="19"/>
                <w:szCs w:val="19"/>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52,400</w:t>
            </w:r>
          </w:p>
        </w:tc>
        <w:tc>
          <w:tcPr>
            <w:tcW w:w="0" w:type="dxa"/>
            <w:vAlign w:val="bottom"/>
          </w:tcPr>
          <w:p>
            <w:pPr>
              <w:spacing w:after="0"/>
              <w:rPr>
                <w:sz w:val="1"/>
                <w:szCs w:val="1"/>
                <w:color w:val="auto"/>
              </w:rPr>
            </w:pPr>
          </w:p>
        </w:tc>
      </w:tr>
      <w:tr>
        <w:trPr>
          <w:trHeight w:val="210"/>
        </w:trPr>
        <w:tc>
          <w:tcPr>
            <w:tcW w:w="826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464,703</w:t>
            </w:r>
          </w:p>
        </w:tc>
        <w:tc>
          <w:tcPr>
            <w:tcW w:w="4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437,183</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524,402</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479,345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r>
        <w:rPr>
          <w:rFonts w:ascii="Arial" w:cs="Arial" w:eastAsia="Arial" w:hAnsi="Arial"/>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1"/>
              </w:rPr>
              <w:t>Three Months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0"/>
              </w:rPr>
              <w:t>October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194"/>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130"/>
              <w:spacing w:after="0" w:line="194"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220"/>
              <w:spacing w:after="0" w:line="194"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3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w w:val="98"/>
              </w:rPr>
              <w:t>203,066</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w w:val="95"/>
              </w:rPr>
              <w:t>124,217</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w w:val="98"/>
              </w:rPr>
              <w:t>562,786</w:t>
            </w:r>
          </w:p>
        </w:tc>
        <w:tc>
          <w:tcPr>
            <w:tcW w:w="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w w:val="98"/>
              </w:rPr>
              <w:t>246,694</w:t>
            </w: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w w:val="92"/>
              </w:rPr>
              <w:t>Cost of sales (includes $22,928 and $16,861 with related parties for the quarters ended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w w:val="98"/>
              </w:rPr>
              <w:t>October 31, 2021 and 2020, respectively, and $60,311 and $34,021 with related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460" w:type="dxa"/>
            <w:vAlign w:val="bottom"/>
          </w:tcPr>
          <w:p>
            <w:pPr>
              <w:ind w:left="180"/>
              <w:spacing w:after="0"/>
              <w:rPr>
                <w:sz w:val="20"/>
                <w:szCs w:val="20"/>
                <w:color w:val="auto"/>
              </w:rPr>
            </w:pPr>
            <w:r>
              <w:rPr>
                <w:rFonts w:ascii="Arial" w:cs="Arial" w:eastAsia="Arial" w:hAnsi="Arial"/>
                <w:sz w:val="18"/>
                <w:szCs w:val="18"/>
                <w:color w:val="auto"/>
              </w:rPr>
              <w:t>parties for the nine months ended October 31, 2021 and 2020, respectively)</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w w:val="98"/>
              </w:rPr>
              <w:t>177,914</w:t>
            </w:r>
          </w:p>
        </w:tc>
        <w:tc>
          <w:tcPr>
            <w:tcW w:w="140" w:type="dxa"/>
            <w:vAlign w:val="bottom"/>
          </w:tcPr>
          <w:p>
            <w:pPr>
              <w:spacing w:after="0"/>
              <w:rPr>
                <w:sz w:val="21"/>
                <w:szCs w:val="21"/>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w w:val="95"/>
              </w:rPr>
              <w:t>105,288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504,003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235,435</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25,152</w:t>
            </w:r>
          </w:p>
        </w:tc>
        <w:tc>
          <w:tcPr>
            <w:tcW w:w="14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18,929</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58,783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(6,310)</w:t>
            </w:r>
          </w:p>
        </w:tc>
        <w:tc>
          <w:tcPr>
            <w:tcW w:w="140" w:type="dxa"/>
            <w:vAlign w:val="bottom"/>
          </w:tcPr>
          <w:p>
            <w:pPr>
              <w:spacing w:after="0"/>
              <w:rPr>
                <w:sz w:val="24"/>
                <w:szCs w:val="24"/>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(4,269)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(22,444)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(13,407)</w:t>
            </w:r>
          </w:p>
        </w:tc>
        <w:tc>
          <w:tcPr>
            <w:tcW w:w="0" w:type="dxa"/>
            <w:vAlign w:val="bottom"/>
          </w:tcPr>
          <w:p>
            <w:pPr>
              <w:spacing w:after="0"/>
              <w:rPr>
                <w:sz w:val="1"/>
                <w:szCs w:val="1"/>
                <w:color w:val="auto"/>
              </w:rPr>
            </w:pPr>
          </w:p>
        </w:tc>
      </w:tr>
      <w:tr>
        <w:trPr>
          <w:trHeight w:val="216"/>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2,763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19,226</w:t>
            </w:r>
          </w:p>
        </w:tc>
        <w:tc>
          <w:tcPr>
            <w:tcW w:w="14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16,349</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39,219</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(4,338)</w:t>
            </w:r>
          </w:p>
        </w:tc>
        <w:tc>
          <w:tcPr>
            <w:tcW w:w="140" w:type="dxa"/>
            <w:vAlign w:val="bottom"/>
          </w:tcPr>
          <w:p>
            <w:pPr>
              <w:spacing w:after="0"/>
              <w:rPr>
                <w:sz w:val="19"/>
                <w:szCs w:val="19"/>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(8,329)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14,888</w:t>
            </w:r>
          </w:p>
        </w:tc>
        <w:tc>
          <w:tcPr>
            <w:tcW w:w="14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11,312</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30,890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Net income attributable to noncontrolling interests (continuing operations)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19"/>
                <w:szCs w:val="19"/>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(2,276)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(4,585)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9"/>
        </w:trPr>
        <w:tc>
          <w:tcPr>
            <w:tcW w:w="6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w w:val="96"/>
              </w:rPr>
              <w:t>Net income (loss) attributable to REX common shareholders (continuing operations)</w:t>
            </w:r>
          </w:p>
        </w:tc>
        <w:tc>
          <w:tcPr>
            <w:tcW w:w="1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13,326</w:t>
            </w:r>
          </w:p>
        </w:tc>
        <w:tc>
          <w:tcPr>
            <w:tcW w:w="46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9,036</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26,305</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460" w:type="dxa"/>
            <w:vAlign w:val="bottom"/>
          </w:tcPr>
          <w:p>
            <w:pPr>
              <w:spacing w:after="0"/>
              <w:rPr>
                <w:sz w:val="20"/>
                <w:szCs w:val="20"/>
                <w:color w:val="auto"/>
              </w:rPr>
            </w:pPr>
            <w:r>
              <w:rPr>
                <w:rFonts w:ascii="Arial" w:cs="Arial" w:eastAsia="Arial" w:hAnsi="Arial"/>
                <w:sz w:val="18"/>
                <w:szCs w:val="18"/>
                <w:color w:val="auto"/>
                <w:w w:val="96"/>
              </w:rPr>
              <w:t>Net income (loss) from discontinued operations, net of tax (includes expense of $39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w w:val="99"/>
              </w:rPr>
              <w:t>and $(15) with related parties for the quarters ended October 31, 2021 and 2020,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respectively and $230 and $(160) with related parties for the nine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October 31, 2021 and 2020,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1,815</w:t>
            </w:r>
          </w:p>
        </w:tc>
        <w:tc>
          <w:tcPr>
            <w:tcW w:w="140" w:type="dxa"/>
            <w:vAlign w:val="bottom"/>
          </w:tcPr>
          <w:p>
            <w:pPr>
              <w:spacing w:after="0"/>
              <w:rPr>
                <w:sz w:val="20"/>
                <w:szCs w:val="20"/>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4,263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0"/>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Net income attributable to noncontrolling interests (discontinued operations)</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E5FFFF"/>
          </w:tcPr>
          <w:p>
            <w:pPr>
              <w:spacing w:after="0"/>
              <w:rPr>
                <w:sz w:val="19"/>
                <w:szCs w:val="19"/>
                <w:color w:val="auto"/>
              </w:rPr>
            </w:pP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w w:val="93"/>
              </w:rPr>
              <w:t>Net income (loss) attributable to REX common shareholders (discontinued operations)</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1,952</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 attributable to REX common shareholders</w:t>
            </w:r>
          </w:p>
        </w:tc>
        <w:tc>
          <w:tcPr>
            <w:tcW w:w="3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15,278</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8,841</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30,938</w:t>
            </w:r>
          </w:p>
        </w:tc>
        <w:tc>
          <w:tcPr>
            <w:tcW w:w="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64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5,963</w:t>
            </w:r>
          </w:p>
        </w:tc>
        <w:tc>
          <w:tcPr>
            <w:tcW w:w="140" w:type="dxa"/>
            <w:vAlign w:val="bottom"/>
          </w:tcPr>
          <w:p>
            <w:pPr>
              <w:spacing w:after="0"/>
              <w:rPr>
                <w:sz w:val="24"/>
                <w:szCs w:val="24"/>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6,143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5,994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3"/>
              </w:rPr>
              <w:t>Basic and diluted net income (loss) per share from continuing operations attributable to</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REX common shareholders</w:t>
            </w:r>
          </w:p>
        </w:tc>
        <w:tc>
          <w:tcPr>
            <w:tcW w:w="3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1.47</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4.39</w:t>
            </w:r>
          </w:p>
        </w:tc>
        <w:tc>
          <w:tcPr>
            <w:tcW w:w="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w w:val="93"/>
              </w:rPr>
              <w:t>Basic and diluted net income (loss) per share from discontinued operations attributable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460" w:type="dxa"/>
            <w:vAlign w:val="bottom"/>
          </w:tcPr>
          <w:p>
            <w:pPr>
              <w:spacing w:after="0"/>
              <w:rPr>
                <w:sz w:val="20"/>
                <w:szCs w:val="20"/>
                <w:color w:val="auto"/>
              </w:rPr>
            </w:pPr>
            <w:r>
              <w:rPr>
                <w:rFonts w:ascii="Arial" w:cs="Arial" w:eastAsia="Arial" w:hAnsi="Arial"/>
                <w:sz w:val="18"/>
                <w:szCs w:val="18"/>
                <w:color w:val="auto"/>
              </w:rPr>
              <w:t>to REX common shareholders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21"/>
                <w:szCs w:val="21"/>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82"/>
        </w:trPr>
        <w:tc>
          <w:tcPr>
            <w:tcW w:w="6460" w:type="dxa"/>
            <w:vAlign w:val="bottom"/>
            <w:tcBorders>
              <w:top w:val="single" w:sz="8" w:color="E5FFFF"/>
            </w:tcBorders>
            <w:shd w:val="clear" w:color="auto" w:fill="E5FFFF"/>
          </w:tcPr>
          <w:p>
            <w:pPr>
              <w:spacing w:after="0" w:line="182" w:lineRule="exact"/>
              <w:rPr>
                <w:sz w:val="20"/>
                <w:szCs w:val="20"/>
                <w:color w:val="auto"/>
              </w:rPr>
            </w:pPr>
            <w:r>
              <w:rPr>
                <w:rFonts w:ascii="Arial" w:cs="Arial" w:eastAsia="Arial" w:hAnsi="Arial"/>
                <w:sz w:val="18"/>
                <w:szCs w:val="18"/>
                <w:color w:val="auto"/>
              </w:rPr>
              <w:t>Basic and diluted net income (loss) per share attributable to REX common</w:t>
            </w:r>
          </w:p>
        </w:tc>
        <w:tc>
          <w:tcPr>
            <w:tcW w:w="18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46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auto"/>
            </w:tcBorders>
            <w:shd w:val="clear" w:color="auto" w:fill="E5FFFF"/>
          </w:tcPr>
          <w:p>
            <w:pPr>
              <w:spacing w:after="0"/>
              <w:rPr>
                <w:sz w:val="15"/>
                <w:szCs w:val="15"/>
                <w:color w:val="auto"/>
              </w:rPr>
            </w:pPr>
          </w:p>
        </w:tc>
        <w:tc>
          <w:tcPr>
            <w:tcW w:w="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460" w:type="dxa"/>
            <w:vAlign w:val="bottom"/>
            <w:shd w:val="clear" w:color="auto" w:fill="E5FFFF"/>
          </w:tcPr>
          <w:p>
            <w:pPr>
              <w:spacing w:after="0"/>
              <w:rPr>
                <w:sz w:val="20"/>
                <w:szCs w:val="20"/>
                <w:color w:val="auto"/>
              </w:rPr>
            </w:pPr>
            <w:r>
              <w:rPr>
                <w:rFonts w:ascii="Arial" w:cs="Arial" w:eastAsia="Arial" w:hAnsi="Arial"/>
                <w:sz w:val="18"/>
                <w:szCs w:val="18"/>
                <w:color w:val="auto"/>
              </w:rPr>
              <w:t>shareholders</w:t>
            </w:r>
          </w:p>
        </w:tc>
        <w:tc>
          <w:tcPr>
            <w:tcW w:w="3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1.44</w:t>
            </w:r>
          </w:p>
        </w:tc>
        <w:tc>
          <w:tcPr>
            <w:tcW w:w="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5.16</w:t>
            </w:r>
          </w:p>
        </w:tc>
        <w:tc>
          <w:tcPr>
            <w:tcW w:w="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4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October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REX Shareholders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6"/>
          </w:tcPr>
          <w:p>
            <w:pPr>
              <w:jc w:val="center"/>
              <w:ind w:left="88"/>
              <w:spacing w:after="0"/>
              <w:rPr>
                <w:sz w:val="20"/>
                <w:szCs w:val="20"/>
                <w:color w:val="auto"/>
              </w:rPr>
            </w:pPr>
            <w:r>
              <w:rPr>
                <w:rFonts w:ascii="Arial" w:cs="Arial" w:eastAsia="Arial" w:hAnsi="Arial"/>
                <w:sz w:val="14"/>
                <w:szCs w:val="14"/>
                <w:b w:val="1"/>
                <w:bCs w:val="1"/>
                <w:color w:val="auto"/>
                <w:w w:val="89"/>
              </w:rPr>
              <w:t>Common Shares</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w w:val="97"/>
              </w:rPr>
              <w:t>Treasury</w:t>
            </w:r>
          </w:p>
        </w:tc>
        <w:tc>
          <w:tcPr>
            <w:tcW w:w="200" w:type="dxa"/>
            <w:vAlign w:val="bottom"/>
          </w:tcPr>
          <w:p>
            <w:pPr>
              <w:spacing w:after="0"/>
              <w:rPr>
                <w:sz w:val="23"/>
                <w:szCs w:val="23"/>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3"/>
                <w:szCs w:val="23"/>
                <w:color w:val="auto"/>
              </w:rPr>
            </w:pPr>
          </w:p>
        </w:tc>
        <w:tc>
          <w:tcPr>
            <w:tcW w:w="94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w w:val="91"/>
              </w:rPr>
              <w:t>Retained</w:t>
            </w:r>
          </w:p>
        </w:tc>
        <w:tc>
          <w:tcPr>
            <w:tcW w:w="14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300" w:type="dxa"/>
            <w:vAlign w:val="bottom"/>
          </w:tcPr>
          <w:p>
            <w:pPr>
              <w:spacing w:after="0"/>
              <w:rPr>
                <w:sz w:val="23"/>
                <w:szCs w:val="23"/>
                <w:color w:val="auto"/>
              </w:rPr>
            </w:pPr>
          </w:p>
        </w:tc>
        <w:tc>
          <w:tcPr>
            <w:tcW w:w="6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5"/>
              </w:rPr>
              <w:t>Issued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5"/>
            <w:vMerge w:val="continue"/>
          </w:tcPr>
          <w:p>
            <w:pPr>
              <w:spacing w:after="0"/>
              <w:rPr>
                <w:sz w:val="13"/>
                <w:szCs w:val="13"/>
                <w:color w:val="auto"/>
              </w:rPr>
            </w:pPr>
          </w:p>
        </w:tc>
        <w:tc>
          <w:tcPr>
            <w:tcW w:w="144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5"/>
          </w:tcPr>
          <w:p>
            <w:pPr>
              <w:jc w:val="right"/>
              <w:ind w:right="520"/>
              <w:spacing w:after="0" w:line="129"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gridSpan w:val="2"/>
          </w:tcPr>
          <w:p>
            <w:pPr>
              <w:jc w:val="right"/>
              <w:ind w:right="48"/>
              <w:spacing w:after="0" w:line="12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3"/>
              </w:rPr>
              <w:t>Amount</w:t>
            </w:r>
          </w:p>
        </w:tc>
        <w:tc>
          <w:tcPr>
            <w:tcW w:w="200" w:type="dxa"/>
            <w:vAlign w:val="bottom"/>
          </w:tcPr>
          <w:p>
            <w:pPr>
              <w:spacing w:after="0"/>
              <w:rPr>
                <w:sz w:val="11"/>
                <w:szCs w:val="11"/>
                <w:color w:val="auto"/>
              </w:rPr>
            </w:pPr>
          </w:p>
        </w:tc>
        <w:tc>
          <w:tcPr>
            <w:tcW w:w="8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Capital</w:t>
            </w:r>
          </w:p>
        </w:tc>
        <w:tc>
          <w:tcPr>
            <w:tcW w:w="1120" w:type="dxa"/>
            <w:vAlign w:val="bottom"/>
            <w:gridSpan w:val="6"/>
          </w:tcPr>
          <w:p>
            <w:pPr>
              <w:jc w:val="right"/>
              <w:ind w:right="380"/>
              <w:spacing w:after="0" w:line="129" w:lineRule="exact"/>
              <w:rPr>
                <w:sz w:val="20"/>
                <w:szCs w:val="20"/>
                <w:color w:val="auto"/>
              </w:rPr>
            </w:pPr>
            <w:r>
              <w:rPr>
                <w:rFonts w:ascii="Arial" w:cs="Arial" w:eastAsia="Arial" w:hAnsi="Arial"/>
                <w:sz w:val="14"/>
                <w:szCs w:val="14"/>
                <w:b w:val="1"/>
                <w:bCs w:val="1"/>
                <w:color w:val="auto"/>
              </w:rPr>
              <w:t>Earnings</w:t>
            </w:r>
          </w:p>
        </w:tc>
        <w:tc>
          <w:tcPr>
            <w:tcW w:w="400" w:type="dxa"/>
            <w:vAlign w:val="bottom"/>
          </w:tcPr>
          <w:p>
            <w:pPr>
              <w:spacing w:after="0"/>
              <w:rPr>
                <w:sz w:val="11"/>
                <w:szCs w:val="11"/>
                <w:color w:val="auto"/>
              </w:rPr>
            </w:pPr>
          </w:p>
        </w:tc>
        <w:tc>
          <w:tcPr>
            <w:tcW w:w="1040" w:type="dxa"/>
            <w:vAlign w:val="bottom"/>
            <w:gridSpan w:val="5"/>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Interests</w:t>
            </w:r>
          </w:p>
        </w:tc>
        <w:tc>
          <w:tcPr>
            <w:tcW w:w="300" w:type="dxa"/>
            <w:vAlign w:val="bottom"/>
          </w:tcPr>
          <w:p>
            <w:pPr>
              <w:spacing w:after="0"/>
              <w:rPr>
                <w:sz w:val="11"/>
                <w:szCs w:val="11"/>
                <w:color w:val="auto"/>
              </w:rPr>
            </w:pPr>
          </w:p>
        </w:tc>
        <w:tc>
          <w:tcPr>
            <w:tcW w:w="6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Balance at July 31, 2021</w:t>
            </w:r>
          </w:p>
        </w:tc>
        <w:tc>
          <w:tcPr>
            <w:tcW w:w="920" w:type="dxa"/>
            <w:vAlign w:val="bottom"/>
            <w:tcBorders>
              <w:left w:val="single" w:sz="8" w:color="E5FFFF"/>
            </w:tcBorders>
            <w:gridSpan w:val="3"/>
            <w:shd w:val="clear" w:color="auto" w:fill="E5FFFF"/>
          </w:tcPr>
          <w:p>
            <w:pPr>
              <w:jc w:val="right"/>
              <w:ind w:right="308"/>
              <w:spacing w:after="0" w:line="149" w:lineRule="exact"/>
              <w:rPr>
                <w:sz w:val="20"/>
                <w:szCs w:val="20"/>
                <w:color w:val="auto"/>
              </w:rPr>
            </w:pPr>
            <w:r>
              <w:rPr>
                <w:rFonts w:ascii="Arial" w:cs="Arial" w:eastAsia="Arial" w:hAnsi="Arial"/>
                <w:sz w:val="14"/>
                <w:szCs w:val="14"/>
                <w:color w:val="auto"/>
              </w:rPr>
              <w:t>29,853</w:t>
            </w:r>
          </w:p>
        </w:tc>
        <w:tc>
          <w:tcPr>
            <w:tcW w:w="20" w:type="dxa"/>
            <w:vAlign w:val="bottom"/>
            <w:shd w:val="clear" w:color="auto" w:fill="E5FFFF"/>
          </w:tcPr>
          <w:p>
            <w:pPr>
              <w:spacing w:after="0"/>
              <w:rPr>
                <w:sz w:val="12"/>
                <w:szCs w:val="12"/>
                <w:color w:val="auto"/>
              </w:rPr>
            </w:pPr>
          </w:p>
        </w:tc>
        <w:tc>
          <w:tcPr>
            <w:tcW w:w="3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E5FFFF"/>
            </w:tcBorders>
            <w:gridSpan w:val="3"/>
            <w:shd w:val="clear" w:color="auto" w:fill="E5FFFF"/>
          </w:tcPr>
          <w:p>
            <w:pPr>
              <w:jc w:val="right"/>
              <w:ind w:right="440"/>
              <w:spacing w:after="0" w:line="149" w:lineRule="exact"/>
              <w:rPr>
                <w:sz w:val="20"/>
                <w:szCs w:val="20"/>
                <w:color w:val="auto"/>
              </w:rPr>
            </w:pPr>
            <w:r>
              <w:rPr>
                <w:rFonts w:ascii="Arial" w:cs="Arial" w:eastAsia="Arial" w:hAnsi="Arial"/>
                <w:sz w:val="14"/>
                <w:szCs w:val="14"/>
                <w:color w:val="auto"/>
              </w:rPr>
              <w:t>299</w:t>
            </w:r>
          </w:p>
        </w:tc>
        <w:tc>
          <w:tcPr>
            <w:tcW w:w="74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23,866</w:t>
            </w:r>
          </w:p>
        </w:tc>
        <w:tc>
          <w:tcPr>
            <w:tcW w:w="10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 (355,936)</w:t>
            </w:r>
          </w:p>
        </w:tc>
        <w:tc>
          <w:tcPr>
            <w:tcW w:w="28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149,263</w:t>
            </w:r>
          </w:p>
        </w:tc>
        <w:tc>
          <w:tcPr>
            <w:tcW w:w="380" w:type="dxa"/>
            <w:vAlign w:val="bottom"/>
            <w:gridSpan w:val="3"/>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w w:val="98"/>
              </w:rPr>
              <w:t>605,646</w:t>
            </w:r>
          </w:p>
        </w:tc>
        <w:tc>
          <w:tcPr>
            <w:tcW w:w="720" w:type="dxa"/>
            <w:vAlign w:val="bottom"/>
            <w:gridSpan w:val="3"/>
            <w:shd w:val="clear" w:color="auto" w:fill="E5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54,025</w:t>
            </w:r>
          </w:p>
        </w:tc>
        <w:tc>
          <w:tcPr>
            <w:tcW w:w="300" w:type="dxa"/>
            <w:vAlign w:val="bottom"/>
            <w:tcBorders>
              <w:right w:val="single" w:sz="8" w:color="E5FFFF"/>
            </w:tcBorders>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453,297</w:t>
            </w:r>
          </w:p>
        </w:tc>
        <w:tc>
          <w:tcPr>
            <w:tcW w:w="0" w:type="dxa"/>
            <w:vAlign w:val="bottom"/>
          </w:tcPr>
          <w:p>
            <w:pPr>
              <w:spacing w:after="0"/>
              <w:rPr>
                <w:sz w:val="1"/>
                <w:szCs w:val="1"/>
                <w:color w:val="auto"/>
              </w:rPr>
            </w:pPr>
          </w:p>
        </w:tc>
      </w:tr>
      <w:tr>
        <w:trPr>
          <w:trHeight w:val="312"/>
        </w:trPr>
        <w:tc>
          <w:tcPr>
            <w:tcW w:w="29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15,278</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1,425</w:t>
            </w:r>
          </w:p>
        </w:tc>
        <w:tc>
          <w:tcPr>
            <w:tcW w:w="3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16,703</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420" w:type="dxa"/>
            <w:vAlign w:val="bottom"/>
            <w:tcBorders>
              <w:left w:val="single" w:sz="8" w:color="E5FFFF"/>
            </w:tcBorders>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74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1060" w:type="dxa"/>
            <w:vAlign w:val="bottom"/>
            <w:gridSpan w:val="4"/>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(5,271)</w:t>
            </w:r>
          </w:p>
        </w:tc>
        <w:tc>
          <w:tcPr>
            <w:tcW w:w="2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00" w:type="dxa"/>
            <w:vAlign w:val="bottom"/>
            <w:tcBorders>
              <w:right w:val="single" w:sz="8" w:color="E5FFFF"/>
            </w:tcBorders>
            <w:shd w:val="clear" w:color="auto" w:fill="E5FFFF"/>
          </w:tcPr>
          <w:p>
            <w:pPr>
              <w:spacing w:after="0"/>
              <w:rPr>
                <w:sz w:val="12"/>
                <w:szCs w:val="12"/>
                <w:color w:val="auto"/>
              </w:rPr>
            </w:pPr>
          </w:p>
        </w:tc>
        <w:tc>
          <w:tcPr>
            <w:tcW w:w="68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(5,271)</w:t>
            </w:r>
          </w:p>
        </w:tc>
        <w:tc>
          <w:tcPr>
            <w:tcW w:w="0" w:type="dxa"/>
            <w:vAlign w:val="bottom"/>
          </w:tcPr>
          <w:p>
            <w:pPr>
              <w:spacing w:after="0"/>
              <w:rPr>
                <w:sz w:val="1"/>
                <w:szCs w:val="1"/>
                <w:color w:val="auto"/>
              </w:rPr>
            </w:pPr>
          </w:p>
        </w:tc>
      </w:tr>
      <w:tr>
        <w:trPr>
          <w:trHeight w:val="312"/>
        </w:trPr>
        <w:tc>
          <w:tcPr>
            <w:tcW w:w="2920" w:type="dxa"/>
            <w:vAlign w:val="bottom"/>
            <w:gridSpan w:val="2"/>
          </w:tcPr>
          <w:p>
            <w:pPr>
              <w:spacing w:after="0"/>
              <w:rPr>
                <w:sz w:val="20"/>
                <w:szCs w:val="20"/>
                <w:color w:val="auto"/>
              </w:rPr>
            </w:pPr>
            <w:r>
              <w:rPr>
                <w:rFonts w:ascii="Arial" w:cs="Arial" w:eastAsia="Arial" w:hAnsi="Arial"/>
                <w:sz w:val="14"/>
                <w:szCs w:val="14"/>
                <w:color w:val="auto"/>
              </w:rPr>
              <w:t>Noncontrolling interests distribution and other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(211)</w:t>
            </w:r>
          </w:p>
        </w:tc>
        <w:tc>
          <w:tcPr>
            <w:tcW w:w="3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420" w:type="dxa"/>
            <w:vAlign w:val="bottom"/>
            <w:tcBorders>
              <w:left w:val="single" w:sz="8" w:color="E5FFFF"/>
            </w:tcBorders>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280" w:type="dxa"/>
            <w:vAlign w:val="bottom"/>
            <w:tcBorders>
              <w:right w:val="single" w:sz="8" w:color="E5FFFF"/>
            </w:tcBorders>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2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141</w:t>
            </w:r>
          </w:p>
        </w:tc>
        <w:tc>
          <w:tcPr>
            <w:tcW w:w="300" w:type="dxa"/>
            <w:vAlign w:val="bottom"/>
            <w:tcBorders>
              <w:right w:val="single" w:sz="8" w:color="E5FFFF"/>
            </w:tcBorders>
            <w:shd w:val="clear" w:color="auto" w:fill="E5FFFF"/>
          </w:tcPr>
          <w:p>
            <w:pPr>
              <w:spacing w:after="0"/>
              <w:rPr>
                <w:sz w:val="12"/>
                <w:szCs w:val="12"/>
                <w:color w:val="auto"/>
              </w:rPr>
            </w:pPr>
          </w:p>
        </w:tc>
        <w:tc>
          <w:tcPr>
            <w:tcW w:w="68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8"/>
        </w:trPr>
        <w:tc>
          <w:tcPr>
            <w:tcW w:w="2920" w:type="dxa"/>
            <w:vAlign w:val="bottom"/>
            <w:gridSpan w:val="2"/>
          </w:tcPr>
          <w:p>
            <w:pPr>
              <w:spacing w:after="0"/>
              <w:rPr>
                <w:sz w:val="20"/>
                <w:szCs w:val="20"/>
                <w:color w:val="auto"/>
              </w:rPr>
            </w:pPr>
            <w:r>
              <w:rPr>
                <w:rFonts w:ascii="Arial" w:cs="Arial" w:eastAsia="Arial" w:hAnsi="Arial"/>
                <w:sz w:val="14"/>
                <w:szCs w:val="14"/>
                <w:color w:val="auto"/>
              </w:rPr>
              <w:t>Issuance of equity awards and stock based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920" w:type="dxa"/>
            <w:vAlign w:val="bottom"/>
            <w:gridSpan w:val="2"/>
          </w:tcPr>
          <w:p>
            <w:pPr>
              <w:spacing w:after="0"/>
              <w:rPr>
                <w:sz w:val="20"/>
                <w:szCs w:val="20"/>
                <w:color w:val="auto"/>
              </w:rPr>
            </w:pPr>
            <w:r>
              <w:rPr>
                <w:rFonts w:ascii="Arial" w:cs="Arial" w:eastAsia="Arial" w:hAnsi="Arial"/>
                <w:sz w:val="14"/>
                <w:szCs w:val="14"/>
                <w:color w:val="auto"/>
              </w:rPr>
              <w:t>compensation expense</w:t>
            </w:r>
          </w:p>
        </w:tc>
        <w:tc>
          <w:tcPr>
            <w:tcW w:w="920" w:type="dxa"/>
            <w:vAlign w:val="bottom"/>
            <w:gridSpan w:val="3"/>
          </w:tcPr>
          <w:p>
            <w:pPr>
              <w:jc w:val="right"/>
              <w:ind w:right="3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180"/>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Balance at October 31, 2021</w:t>
            </w:r>
          </w:p>
        </w:tc>
        <w:tc>
          <w:tcPr>
            <w:tcW w:w="920" w:type="dxa"/>
            <w:vAlign w:val="bottom"/>
            <w:tcBorders>
              <w:left w:val="single" w:sz="8" w:color="E5FFFF"/>
            </w:tcBorders>
            <w:gridSpan w:val="3"/>
            <w:shd w:val="clear" w:color="auto" w:fill="E5FFFF"/>
          </w:tcPr>
          <w:p>
            <w:pPr>
              <w:jc w:val="right"/>
              <w:ind w:right="308"/>
              <w:spacing w:after="0"/>
              <w:rPr>
                <w:sz w:val="20"/>
                <w:szCs w:val="20"/>
                <w:color w:val="auto"/>
              </w:rPr>
            </w:pPr>
            <w:r>
              <w:rPr>
                <w:rFonts w:ascii="Arial" w:cs="Arial" w:eastAsia="Arial" w:hAnsi="Arial"/>
                <w:sz w:val="14"/>
                <w:szCs w:val="14"/>
                <w:color w:val="auto"/>
              </w:rPr>
              <w:t>29,853</w:t>
            </w:r>
          </w:p>
        </w:tc>
        <w:tc>
          <w:tcPr>
            <w:tcW w:w="20" w:type="dxa"/>
            <w:vAlign w:val="bottom"/>
            <w:shd w:val="clear" w:color="auto" w:fill="E5FFFF"/>
          </w:tcPr>
          <w:p>
            <w:pPr>
              <w:spacing w:after="0"/>
              <w:rPr>
                <w:sz w:val="15"/>
                <w:szCs w:val="15"/>
                <w:color w:val="auto"/>
              </w:rPr>
            </w:pPr>
          </w:p>
        </w:tc>
        <w:tc>
          <w:tcPr>
            <w:tcW w:w="3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E5FFFF"/>
            </w:tcBorders>
            <w:gridSpan w:val="3"/>
            <w:shd w:val="clear" w:color="auto" w:fill="E5FFFF"/>
          </w:tcPr>
          <w:p>
            <w:pPr>
              <w:jc w:val="right"/>
              <w:ind w:right="440"/>
              <w:spacing w:after="0"/>
              <w:rPr>
                <w:sz w:val="20"/>
                <w:szCs w:val="20"/>
                <w:color w:val="auto"/>
              </w:rPr>
            </w:pPr>
            <w:r>
              <w:rPr>
                <w:rFonts w:ascii="Arial" w:cs="Arial" w:eastAsia="Arial" w:hAnsi="Arial"/>
                <w:sz w:val="14"/>
                <w:szCs w:val="14"/>
                <w:color w:val="auto"/>
              </w:rPr>
              <w:t>299</w:t>
            </w:r>
          </w:p>
        </w:tc>
        <w:tc>
          <w:tcPr>
            <w:tcW w:w="74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23,933</w:t>
            </w:r>
          </w:p>
        </w:tc>
        <w:tc>
          <w:tcPr>
            <w:tcW w:w="10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 (361,199)</w:t>
            </w: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E5FFFF"/>
          </w:tcPr>
          <w:p>
            <w:pPr>
              <w:jc w:val="right"/>
              <w:ind w:right="180"/>
              <w:spacing w:after="0"/>
              <w:rPr>
                <w:sz w:val="20"/>
                <w:szCs w:val="20"/>
                <w:color w:val="auto"/>
              </w:rPr>
            </w:pPr>
            <w:r>
              <w:rPr>
                <w:rFonts w:ascii="Arial" w:cs="Arial" w:eastAsia="Arial" w:hAnsi="Arial"/>
                <w:sz w:val="14"/>
                <w:szCs w:val="14"/>
                <w:color w:val="auto"/>
              </w:rPr>
              <w:t>149,299</w:t>
            </w:r>
          </w:p>
        </w:tc>
        <w:tc>
          <w:tcPr>
            <w:tcW w:w="380" w:type="dxa"/>
            <w:vAlign w:val="bottom"/>
            <w:gridSpan w:val="3"/>
            <w:shd w:val="clear" w:color="auto" w:fill="E5FF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220"/>
              <w:spacing w:after="0"/>
              <w:rPr>
                <w:sz w:val="20"/>
                <w:szCs w:val="20"/>
                <w:color w:val="auto"/>
              </w:rPr>
            </w:pPr>
            <w:r>
              <w:rPr>
                <w:rFonts w:ascii="Arial" w:cs="Arial" w:eastAsia="Arial" w:hAnsi="Arial"/>
                <w:sz w:val="14"/>
                <w:szCs w:val="14"/>
                <w:color w:val="auto"/>
                <w:w w:val="98"/>
              </w:rPr>
              <w:t>620,924</w:t>
            </w:r>
          </w:p>
        </w:tc>
        <w:tc>
          <w:tcPr>
            <w:tcW w:w="720" w:type="dxa"/>
            <w:vAlign w:val="bottom"/>
            <w:gridSpan w:val="3"/>
            <w:shd w:val="clear" w:color="auto" w:fill="E5FF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55,380</w:t>
            </w:r>
          </w:p>
        </w:tc>
        <w:tc>
          <w:tcPr>
            <w:tcW w:w="3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464,703</w:t>
            </w:r>
          </w:p>
        </w:tc>
        <w:tc>
          <w:tcPr>
            <w:tcW w:w="0" w:type="dxa"/>
            <w:vAlign w:val="bottom"/>
          </w:tcPr>
          <w:p>
            <w:pPr>
              <w:spacing w:after="0"/>
              <w:rPr>
                <w:sz w:val="1"/>
                <w:szCs w:val="1"/>
                <w:color w:val="auto"/>
              </w:rPr>
            </w:pPr>
          </w:p>
        </w:tc>
      </w:tr>
      <w:tr>
        <w:trPr>
          <w:trHeight w:val="20"/>
        </w:trPr>
        <w:tc>
          <w:tcPr>
            <w:tcW w:w="28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920" w:type="dxa"/>
            <w:vAlign w:val="bottom"/>
            <w:gridSpan w:val="2"/>
          </w:tcPr>
          <w:p>
            <w:pPr>
              <w:spacing w:after="0"/>
              <w:rPr>
                <w:sz w:val="20"/>
                <w:szCs w:val="20"/>
                <w:color w:val="auto"/>
              </w:rPr>
            </w:pPr>
            <w:r>
              <w:rPr>
                <w:rFonts w:ascii="Arial" w:cs="Arial" w:eastAsia="Arial" w:hAnsi="Arial"/>
                <w:sz w:val="14"/>
                <w:szCs w:val="14"/>
                <w:color w:val="auto"/>
              </w:rPr>
              <w:t>Balance at January 31, 2021</w:t>
            </w:r>
          </w:p>
        </w:tc>
        <w:tc>
          <w:tcPr>
            <w:tcW w:w="920" w:type="dxa"/>
            <w:vAlign w:val="bottom"/>
            <w:gridSpan w:val="3"/>
          </w:tcPr>
          <w:p>
            <w:pPr>
              <w:jc w:val="right"/>
              <w:ind w:right="308"/>
              <w:spacing w:after="0"/>
              <w:rPr>
                <w:sz w:val="20"/>
                <w:szCs w:val="20"/>
                <w:color w:val="auto"/>
              </w:rPr>
            </w:pPr>
            <w:r>
              <w:rPr>
                <w:rFonts w:ascii="Arial" w:cs="Arial" w:eastAsia="Arial" w:hAnsi="Arial"/>
                <w:sz w:val="14"/>
                <w:szCs w:val="14"/>
                <w:color w:val="auto"/>
              </w:rPr>
              <w:t>29,853</w:t>
            </w:r>
          </w:p>
        </w:tc>
        <w:tc>
          <w:tcPr>
            <w:tcW w:w="2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40"/>
              <w:spacing w:after="0"/>
              <w:rPr>
                <w:sz w:val="20"/>
                <w:szCs w:val="20"/>
                <w:color w:val="auto"/>
              </w:rPr>
            </w:pPr>
            <w:r>
              <w:rPr>
                <w:rFonts w:ascii="Arial" w:cs="Arial" w:eastAsia="Arial" w:hAnsi="Arial"/>
                <w:sz w:val="14"/>
                <w:szCs w:val="14"/>
                <w:color w:val="auto"/>
              </w:rPr>
              <w:t>299</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23,861</w:t>
            </w:r>
          </w:p>
        </w:tc>
        <w:tc>
          <w:tcPr>
            <w:tcW w:w="1060" w:type="dxa"/>
            <w:vAlign w:val="bottom"/>
            <w:gridSpan w:val="4"/>
          </w:tcPr>
          <w:p>
            <w:pPr>
              <w:jc w:val="right"/>
              <w:ind w:right="180"/>
              <w:spacing w:after="0"/>
              <w:rPr>
                <w:sz w:val="20"/>
                <w:szCs w:val="20"/>
                <w:color w:val="auto"/>
              </w:rPr>
            </w:pPr>
            <w:r>
              <w:rPr>
                <w:rFonts w:ascii="Arial" w:cs="Arial" w:eastAsia="Arial" w:hAnsi="Arial"/>
                <w:sz w:val="14"/>
                <w:szCs w:val="14"/>
                <w:color w:val="auto"/>
              </w:rPr>
              <w:t>$ (354,612)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149,110</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w w:val="98"/>
              </w:rPr>
              <w:t>589,986</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52,400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437,183</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Borders>
              <w:left w:val="single" w:sz="8" w:color="E5FFFF"/>
            </w:tcBorders>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280" w:type="dxa"/>
            <w:vAlign w:val="bottom"/>
            <w:tcBorders>
              <w:right w:val="single" w:sz="8" w:color="E5FFFF"/>
            </w:tcBorders>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gridSpan w:val="3"/>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30,938</w:t>
            </w: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2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4,215</w:t>
            </w:r>
          </w:p>
        </w:tc>
        <w:tc>
          <w:tcPr>
            <w:tcW w:w="300" w:type="dxa"/>
            <w:vAlign w:val="bottom"/>
            <w:tcBorders>
              <w:right w:val="single" w:sz="8" w:color="E5FFFF"/>
            </w:tcBorders>
            <w:shd w:val="clear" w:color="auto" w:fill="E5FFFF"/>
          </w:tcPr>
          <w:p>
            <w:pPr>
              <w:spacing w:after="0"/>
              <w:rPr>
                <w:sz w:val="12"/>
                <w:szCs w:val="12"/>
                <w:color w:val="auto"/>
              </w:rPr>
            </w:pPr>
          </w:p>
        </w:tc>
        <w:tc>
          <w:tcPr>
            <w:tcW w:w="68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35,153</w:t>
            </w:r>
          </w:p>
        </w:tc>
        <w:tc>
          <w:tcPr>
            <w:tcW w:w="0" w:type="dxa"/>
            <w:vAlign w:val="bottom"/>
          </w:tcPr>
          <w:p>
            <w:pPr>
              <w:spacing w:after="0"/>
              <w:rPr>
                <w:sz w:val="1"/>
                <w:szCs w:val="1"/>
                <w:color w:val="auto"/>
              </w:rPr>
            </w:pPr>
          </w:p>
        </w:tc>
      </w:tr>
      <w:tr>
        <w:trPr>
          <w:trHeight w:val="312"/>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Treasury stock acquired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84</w:t>
            </w:r>
          </w:p>
        </w:tc>
        <w:tc>
          <w:tcPr>
            <w:tcW w:w="1060" w:type="dxa"/>
            <w:vAlign w:val="bottom"/>
            <w:gridSpan w:val="4"/>
          </w:tcPr>
          <w:p>
            <w:pPr>
              <w:jc w:val="right"/>
              <w:ind w:right="180"/>
              <w:spacing w:after="0"/>
              <w:rPr>
                <w:sz w:val="20"/>
                <w:szCs w:val="20"/>
                <w:color w:val="auto"/>
              </w:rPr>
            </w:pPr>
            <w:r>
              <w:rPr>
                <w:rFonts w:ascii="Arial" w:cs="Arial" w:eastAsia="Arial" w:hAnsi="Arial"/>
                <w:sz w:val="14"/>
                <w:szCs w:val="14"/>
                <w:color w:val="auto"/>
              </w:rPr>
              <w:t>(6,627)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(6,627)</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420" w:type="dxa"/>
            <w:vAlign w:val="bottom"/>
            <w:tcBorders>
              <w:left w:val="single" w:sz="8" w:color="E5FFFF"/>
            </w:tcBorders>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280" w:type="dxa"/>
            <w:vAlign w:val="bottom"/>
            <w:tcBorders>
              <w:right w:val="single" w:sz="8" w:color="E5FFFF"/>
            </w:tcBorders>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2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(1,515)</w:t>
            </w:r>
          </w:p>
        </w:tc>
        <w:tc>
          <w:tcPr>
            <w:tcW w:w="300" w:type="dxa"/>
            <w:vAlign w:val="bottom"/>
            <w:tcBorders>
              <w:right w:val="single" w:sz="8" w:color="E5FFFF"/>
            </w:tcBorders>
            <w:shd w:val="clear" w:color="auto" w:fill="E5FFFF"/>
          </w:tcPr>
          <w:p>
            <w:pPr>
              <w:spacing w:after="0"/>
              <w:rPr>
                <w:sz w:val="12"/>
                <w:szCs w:val="12"/>
                <w:color w:val="auto"/>
              </w:rPr>
            </w:pPr>
          </w:p>
        </w:tc>
        <w:tc>
          <w:tcPr>
            <w:tcW w:w="68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312"/>
        </w:trPr>
        <w:tc>
          <w:tcPr>
            <w:tcW w:w="292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280</w:t>
            </w:r>
          </w:p>
        </w:tc>
        <w:tc>
          <w:tcPr>
            <w:tcW w:w="3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2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420" w:type="dxa"/>
            <w:vAlign w:val="bottom"/>
            <w:tcBorders>
              <w:left w:val="single" w:sz="8" w:color="E5FFFF"/>
            </w:tcBorders>
            <w:shd w:val="clear" w:color="auto" w:fill="E5FFFF"/>
          </w:tcPr>
          <w:p>
            <w:pPr>
              <w:spacing w:after="0"/>
              <w:rPr>
                <w:sz w:val="11"/>
                <w:szCs w:val="11"/>
                <w:color w:val="auto"/>
              </w:rPr>
            </w:pPr>
          </w:p>
        </w:tc>
        <w:tc>
          <w:tcPr>
            <w:tcW w:w="120" w:type="dxa"/>
            <w:vAlign w:val="bottom"/>
            <w:tcBorders>
              <w:right w:val="single" w:sz="8" w:color="E5FFFF"/>
            </w:tcBorders>
            <w:shd w:val="clear" w:color="auto" w:fill="E5FFFF"/>
          </w:tcPr>
          <w:p>
            <w:pPr>
              <w:spacing w:after="0"/>
              <w:rPr>
                <w:sz w:val="11"/>
                <w:szCs w:val="11"/>
                <w:color w:val="auto"/>
              </w:rPr>
            </w:pPr>
          </w:p>
        </w:tc>
        <w:tc>
          <w:tcPr>
            <w:tcW w:w="3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440" w:type="dxa"/>
            <w:vAlign w:val="bottom"/>
            <w:tcBorders>
              <w:right w:val="single" w:sz="8" w:color="E5FFFF"/>
            </w:tcBorders>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20" w:type="dxa"/>
            <w:vAlign w:val="bottom"/>
            <w:tcBorders>
              <w:right w:val="single" w:sz="8" w:color="E5FFFF"/>
            </w:tcBorders>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280" w:type="dxa"/>
            <w:vAlign w:val="bottom"/>
            <w:tcBorders>
              <w:right w:val="single" w:sz="8" w:color="E5FFFF"/>
            </w:tcBorders>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200" w:type="dxa"/>
            <w:vAlign w:val="bottom"/>
            <w:tcBorders>
              <w:right w:val="single" w:sz="8" w:color="E5FFFF"/>
            </w:tcBorders>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3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300" w:type="dxa"/>
            <w:vAlign w:val="bottom"/>
            <w:tcBorders>
              <w:right w:val="single" w:sz="8" w:color="E5FFFF"/>
            </w:tcBorders>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2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compensation expense</w:t>
            </w:r>
          </w:p>
        </w:tc>
        <w:tc>
          <w:tcPr>
            <w:tcW w:w="920" w:type="dxa"/>
            <w:vAlign w:val="bottom"/>
            <w:tcBorders>
              <w:left w:val="single" w:sz="8" w:color="E5FFFF"/>
            </w:tcBorders>
            <w:gridSpan w:val="3"/>
            <w:shd w:val="clear" w:color="auto" w:fill="E5FFFF"/>
          </w:tcPr>
          <w:p>
            <w:pPr>
              <w:jc w:val="right"/>
              <w:ind w:right="308"/>
              <w:spacing w:after="0"/>
              <w:rPr>
                <w:sz w:val="20"/>
                <w:szCs w:val="20"/>
                <w:color w:val="auto"/>
              </w:rPr>
            </w:pPr>
            <w:r>
              <w:rPr>
                <w:rFonts w:ascii="Arial" w:cs="Arial" w:eastAsia="Arial" w:hAnsi="Arial"/>
                <w:sz w:val="14"/>
                <w:szCs w:val="14"/>
                <w:color w:val="auto"/>
              </w:rPr>
              <w:t>-</w:t>
            </w:r>
          </w:p>
        </w:tc>
        <w:tc>
          <w:tcPr>
            <w:tcW w:w="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00" w:type="dxa"/>
            <w:vAlign w:val="bottom"/>
            <w:tcBorders>
              <w:right w:val="single" w:sz="8" w:color="E5FFFF"/>
            </w:tcBorders>
            <w:gridSpan w:val="3"/>
            <w:shd w:val="clear" w:color="auto" w:fill="E5FFFF"/>
          </w:tcPr>
          <w:p>
            <w:pPr>
              <w:jc w:val="right"/>
              <w:ind w:right="44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(12)</w:t>
            </w:r>
          </w:p>
        </w:tc>
        <w:tc>
          <w:tcPr>
            <w:tcW w:w="1060" w:type="dxa"/>
            <w:vAlign w:val="bottom"/>
            <w:gridSpan w:val="4"/>
            <w:shd w:val="clear" w:color="auto" w:fill="E5FFFF"/>
          </w:tcPr>
          <w:p>
            <w:pPr>
              <w:jc w:val="right"/>
              <w:ind w:right="180"/>
              <w:spacing w:after="0"/>
              <w:rPr>
                <w:sz w:val="20"/>
                <w:szCs w:val="20"/>
                <w:color w:val="auto"/>
              </w:rPr>
            </w:pPr>
            <w:r>
              <w:rPr>
                <w:rFonts w:ascii="Arial" w:cs="Arial" w:eastAsia="Arial" w:hAnsi="Arial"/>
                <w:sz w:val="14"/>
                <w:szCs w:val="14"/>
                <w:color w:val="auto"/>
              </w:rPr>
              <w:t>40</w:t>
            </w:r>
          </w:p>
        </w:tc>
        <w:tc>
          <w:tcPr>
            <w:tcW w:w="200" w:type="dxa"/>
            <w:vAlign w:val="bottom"/>
            <w:tcBorders>
              <w:right w:val="single" w:sz="8" w:color="E5FFFF"/>
            </w:tcBorders>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720" w:type="dxa"/>
            <w:vAlign w:val="bottom"/>
            <w:gridSpan w:val="3"/>
            <w:shd w:val="clear" w:color="auto" w:fill="E5FFFF"/>
          </w:tcPr>
          <w:p>
            <w:pPr>
              <w:jc w:val="right"/>
              <w:ind w:right="180"/>
              <w:spacing w:after="0"/>
              <w:rPr>
                <w:sz w:val="20"/>
                <w:szCs w:val="20"/>
                <w:color w:val="auto"/>
              </w:rPr>
            </w:pPr>
            <w:r>
              <w:rPr>
                <w:rFonts w:ascii="Arial" w:cs="Arial" w:eastAsia="Arial" w:hAnsi="Arial"/>
                <w:sz w:val="14"/>
                <w:szCs w:val="14"/>
                <w:color w:val="auto"/>
              </w:rPr>
              <w:t>189</w:t>
            </w:r>
          </w:p>
        </w:tc>
        <w:tc>
          <w:tcPr>
            <w:tcW w:w="18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740" w:type="dxa"/>
            <w:vAlign w:val="bottom"/>
            <w:gridSpan w:val="3"/>
            <w:shd w:val="clear" w:color="auto" w:fill="E5FF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72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E5FFFF"/>
            </w:tcBorders>
            <w:shd w:val="clear" w:color="auto" w:fill="E5FFFF"/>
          </w:tcPr>
          <w:p>
            <w:pPr>
              <w:spacing w:after="0"/>
              <w:rPr>
                <w:sz w:val="15"/>
                <w:szCs w:val="15"/>
                <w:color w:val="auto"/>
              </w:rPr>
            </w:pPr>
          </w:p>
        </w:tc>
        <w:tc>
          <w:tcPr>
            <w:tcW w:w="68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4"/>
                <w:szCs w:val="14"/>
                <w:color w:val="auto"/>
              </w:rPr>
              <w:t>Balance at October 31, 2021</w:t>
            </w: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920" w:type="dxa"/>
            <w:vAlign w:val="bottom"/>
            <w:gridSpan w:val="2"/>
            <w:vMerge w:val="continue"/>
          </w:tcPr>
          <w:p>
            <w:pPr>
              <w:spacing w:after="0"/>
              <w:rPr>
                <w:sz w:val="24"/>
                <w:szCs w:val="24"/>
                <w:color w:val="auto"/>
              </w:rPr>
            </w:pPr>
          </w:p>
        </w:tc>
        <w:tc>
          <w:tcPr>
            <w:tcW w:w="920" w:type="dxa"/>
            <w:vAlign w:val="bottom"/>
            <w:gridSpan w:val="3"/>
          </w:tcPr>
          <w:p>
            <w:pPr>
              <w:jc w:val="right"/>
              <w:ind w:right="308"/>
              <w:spacing w:after="0"/>
              <w:rPr>
                <w:sz w:val="20"/>
                <w:szCs w:val="20"/>
                <w:color w:val="auto"/>
              </w:rPr>
            </w:pPr>
            <w:r>
              <w:rPr>
                <w:rFonts w:ascii="Arial" w:cs="Arial" w:eastAsia="Arial" w:hAnsi="Arial"/>
                <w:sz w:val="14"/>
                <w:szCs w:val="14"/>
                <w:color w:val="auto"/>
              </w:rPr>
              <w:t>29,853</w:t>
            </w:r>
          </w:p>
        </w:tc>
        <w:tc>
          <w:tcPr>
            <w:tcW w:w="2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40"/>
              <w:spacing w:after="0"/>
              <w:rPr>
                <w:sz w:val="20"/>
                <w:szCs w:val="20"/>
                <w:color w:val="auto"/>
              </w:rPr>
            </w:pPr>
            <w:r>
              <w:rPr>
                <w:rFonts w:ascii="Arial" w:cs="Arial" w:eastAsia="Arial" w:hAnsi="Arial"/>
                <w:sz w:val="14"/>
                <w:szCs w:val="14"/>
                <w:color w:val="auto"/>
              </w:rPr>
              <w:t>299</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23,933</w:t>
            </w:r>
          </w:p>
        </w:tc>
        <w:tc>
          <w:tcPr>
            <w:tcW w:w="1060" w:type="dxa"/>
            <w:vAlign w:val="bottom"/>
            <w:gridSpan w:val="4"/>
          </w:tcPr>
          <w:p>
            <w:pPr>
              <w:jc w:val="right"/>
              <w:ind w:right="180"/>
              <w:spacing w:after="0"/>
              <w:rPr>
                <w:sz w:val="20"/>
                <w:szCs w:val="20"/>
                <w:color w:val="auto"/>
              </w:rPr>
            </w:pPr>
            <w:r>
              <w:rPr>
                <w:rFonts w:ascii="Arial" w:cs="Arial" w:eastAsia="Arial" w:hAnsi="Arial"/>
                <w:sz w:val="14"/>
                <w:szCs w:val="14"/>
                <w:color w:val="auto"/>
              </w:rPr>
              <w:t>$ (361,199)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149,299</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w w:val="98"/>
              </w:rPr>
              <w:t>620,924</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55,380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464,703</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4"/>
                <w:szCs w:val="14"/>
                <w:color w:val="auto"/>
              </w:rPr>
              <w:t>Continued on the following page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9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Continued from the previous page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Common Shares</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Treasury</w:t>
            </w:r>
          </w:p>
        </w:tc>
        <w:tc>
          <w:tcPr>
            <w:tcW w:w="10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Retained</w:t>
            </w:r>
          </w:p>
        </w:tc>
        <w:tc>
          <w:tcPr>
            <w:tcW w:w="168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94"/>
              </w:rPr>
              <w:t>Noncontrolling</w:t>
            </w:r>
          </w:p>
        </w:tc>
        <w:tc>
          <w:tcPr>
            <w:tcW w:w="80" w:type="dxa"/>
            <w:vAlign w:val="bottom"/>
          </w:tcPr>
          <w:p>
            <w:pPr>
              <w:spacing w:after="0"/>
              <w:rPr>
                <w:sz w:val="23"/>
                <w:szCs w:val="23"/>
                <w:color w:val="auto"/>
              </w:rPr>
            </w:pPr>
          </w:p>
        </w:tc>
        <w:tc>
          <w:tcPr>
            <w:tcW w:w="6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76"/>
              </w:rPr>
              <w:t>Issued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16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104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Capital</w:t>
            </w:r>
          </w:p>
        </w:tc>
        <w:tc>
          <w:tcPr>
            <w:tcW w:w="9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680" w:type="dxa"/>
            <w:vAlign w:val="bottom"/>
            <w:gridSpan w:val="6"/>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Interests</w:t>
            </w:r>
          </w:p>
        </w:tc>
        <w:tc>
          <w:tcPr>
            <w:tcW w:w="76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Balance at July 31, 2020</w:t>
            </w:r>
          </w:p>
        </w:tc>
        <w:tc>
          <w:tcPr>
            <w:tcW w:w="880" w:type="dxa"/>
            <w:vAlign w:val="bottom"/>
            <w:gridSpan w:val="3"/>
            <w:shd w:val="clear" w:color="auto" w:fill="E5FFFF"/>
          </w:tcPr>
          <w:p>
            <w:pPr>
              <w:jc w:val="right"/>
              <w:ind w:right="268"/>
              <w:spacing w:after="0" w:line="149" w:lineRule="exact"/>
              <w:rPr>
                <w:sz w:val="20"/>
                <w:szCs w:val="20"/>
                <w:color w:val="auto"/>
              </w:rPr>
            </w:pPr>
            <w:r>
              <w:rPr>
                <w:rFonts w:ascii="Arial" w:cs="Arial" w:eastAsia="Arial" w:hAnsi="Arial"/>
                <w:sz w:val="14"/>
                <w:szCs w:val="14"/>
                <w:color w:val="auto"/>
              </w:rPr>
              <w:t>29,853</w:t>
            </w:r>
          </w:p>
        </w:tc>
        <w:tc>
          <w:tcPr>
            <w:tcW w:w="20" w:type="dxa"/>
            <w:vAlign w:val="bottom"/>
            <w:shd w:val="clear" w:color="auto" w:fill="E5FFFF"/>
          </w:tcPr>
          <w:p>
            <w:pPr>
              <w:spacing w:after="0"/>
              <w:rPr>
                <w:sz w:val="12"/>
                <w:szCs w:val="12"/>
                <w:color w:val="auto"/>
              </w:rPr>
            </w:pPr>
          </w:p>
        </w:tc>
        <w:tc>
          <w:tcPr>
            <w:tcW w:w="360" w:type="dxa"/>
            <w:vAlign w:val="bottom"/>
            <w:gridSpan w:val="3"/>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E5FFFF"/>
            </w:tcBorders>
            <w:gridSpan w:val="2"/>
            <w:shd w:val="clear" w:color="auto" w:fill="E5FFFF"/>
          </w:tcPr>
          <w:p>
            <w:pPr>
              <w:jc w:val="right"/>
              <w:ind w:right="440"/>
              <w:spacing w:after="0" w:line="149" w:lineRule="exact"/>
              <w:rPr>
                <w:sz w:val="20"/>
                <w:szCs w:val="20"/>
                <w:color w:val="auto"/>
              </w:rPr>
            </w:pPr>
            <w:r>
              <w:rPr>
                <w:rFonts w:ascii="Arial" w:cs="Arial" w:eastAsia="Arial" w:hAnsi="Arial"/>
                <w:sz w:val="14"/>
                <w:szCs w:val="14"/>
                <w:color w:val="auto"/>
                <w:w w:val="85"/>
              </w:rPr>
              <w:t>299</w:t>
            </w:r>
          </w:p>
        </w:tc>
        <w:tc>
          <w:tcPr>
            <w:tcW w:w="1040" w:type="dxa"/>
            <w:vAlign w:val="bottom"/>
            <w:tcBorders>
              <w:right w:val="single" w:sz="8" w:color="E5FFFF"/>
            </w:tcBorders>
            <w:gridSpan w:val="3"/>
            <w:shd w:val="clear" w:color="auto" w:fill="E5FFFF"/>
          </w:tcPr>
          <w:p>
            <w:pPr>
              <w:jc w:val="right"/>
              <w:ind w:right="428"/>
              <w:spacing w:after="0" w:line="149" w:lineRule="exact"/>
              <w:rPr>
                <w:sz w:val="20"/>
                <w:szCs w:val="20"/>
                <w:color w:val="auto"/>
              </w:rPr>
            </w:pPr>
            <w:r>
              <w:rPr>
                <w:rFonts w:ascii="Arial" w:cs="Arial" w:eastAsia="Arial" w:hAnsi="Arial"/>
                <w:sz w:val="14"/>
                <w:szCs w:val="14"/>
                <w:color w:val="auto"/>
              </w:rPr>
              <w:t>23,655</w:t>
            </w:r>
          </w:p>
        </w:tc>
        <w:tc>
          <w:tcPr>
            <w:tcW w:w="92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w w:val="80"/>
              </w:rPr>
              <w:t>$ (340,591)</w:t>
            </w:r>
          </w:p>
        </w:tc>
        <w:tc>
          <w:tcPr>
            <w:tcW w:w="140" w:type="dxa"/>
            <w:vAlign w:val="bottom"/>
            <w:tcBorders>
              <w:left w:val="single" w:sz="8" w:color="E5FFFF"/>
            </w:tcBorders>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E5FFFF"/>
          </w:tcPr>
          <w:p>
            <w:pPr>
              <w:jc w:val="right"/>
              <w:ind w:right="380"/>
              <w:spacing w:after="0" w:line="149" w:lineRule="exact"/>
              <w:rPr>
                <w:sz w:val="20"/>
                <w:szCs w:val="20"/>
                <w:color w:val="auto"/>
              </w:rPr>
            </w:pPr>
            <w:r>
              <w:rPr>
                <w:rFonts w:ascii="Arial" w:cs="Arial" w:eastAsia="Arial" w:hAnsi="Arial"/>
                <w:sz w:val="14"/>
                <w:szCs w:val="14"/>
                <w:color w:val="auto"/>
                <w:w w:val="98"/>
              </w:rPr>
              <w:t>149,044</w:t>
            </w:r>
          </w:p>
        </w:tc>
        <w:tc>
          <w:tcPr>
            <w:tcW w:w="18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577,602</w:t>
            </w:r>
          </w:p>
        </w:tc>
        <w:tc>
          <w:tcPr>
            <w:tcW w:w="740" w:type="dxa"/>
            <w:vAlign w:val="bottom"/>
            <w:gridSpan w:val="3"/>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E5FFFF"/>
          </w:tcPr>
          <w:p>
            <w:pPr>
              <w:jc w:val="right"/>
              <w:ind w:right="440"/>
              <w:spacing w:after="0" w:line="149" w:lineRule="exact"/>
              <w:rPr>
                <w:sz w:val="20"/>
                <w:szCs w:val="20"/>
                <w:color w:val="auto"/>
              </w:rPr>
            </w:pPr>
            <w:r>
              <w:rPr>
                <w:rFonts w:ascii="Arial" w:cs="Arial" w:eastAsia="Arial" w:hAnsi="Arial"/>
                <w:sz w:val="14"/>
                <w:szCs w:val="14"/>
                <w:color w:val="auto"/>
              </w:rPr>
              <w:t>51,385</w:t>
            </w:r>
          </w:p>
        </w:tc>
        <w:tc>
          <w:tcPr>
            <w:tcW w:w="80" w:type="dxa"/>
            <w:vAlign w:val="bottom"/>
            <w:tcBorders>
              <w:left w:val="single" w:sz="8" w:color="E5FFFF"/>
            </w:tcBorders>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437,739</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9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8,841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2,218</w:t>
            </w: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11,059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220" w:type="dxa"/>
            <w:vAlign w:val="bottom"/>
            <w:tcBorders>
              <w:right w:val="single" w:sz="8" w:color="E5FFFF"/>
            </w:tcBorders>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1040" w:type="dxa"/>
            <w:vAlign w:val="bottom"/>
            <w:tcBorders>
              <w:right w:val="single" w:sz="8" w:color="E5FFFF"/>
            </w:tcBorders>
            <w:gridSpan w:val="3"/>
            <w:shd w:val="clear" w:color="auto" w:fill="E5FFFF"/>
          </w:tcPr>
          <w:p>
            <w:pPr>
              <w:jc w:val="right"/>
              <w:ind w:right="428"/>
              <w:spacing w:after="0" w:line="149" w:lineRule="exact"/>
              <w:rPr>
                <w:sz w:val="20"/>
                <w:szCs w:val="20"/>
                <w:color w:val="auto"/>
              </w:rPr>
            </w:pPr>
            <w:r>
              <w:rPr>
                <w:rFonts w:ascii="Arial" w:cs="Arial" w:eastAsia="Arial" w:hAnsi="Arial"/>
                <w:sz w:val="14"/>
                <w:szCs w:val="14"/>
                <w:color w:val="auto"/>
              </w:rPr>
              <w:t>197</w:t>
            </w:r>
          </w:p>
        </w:tc>
        <w:tc>
          <w:tcPr>
            <w:tcW w:w="92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(13,328)</w:t>
            </w:r>
          </w:p>
        </w:tc>
        <w:tc>
          <w:tcPr>
            <w:tcW w:w="140" w:type="dxa"/>
            <w:vAlign w:val="bottom"/>
            <w:tcBorders>
              <w:lef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80" w:type="dxa"/>
            <w:vAlign w:val="bottom"/>
            <w:tcBorders>
              <w:left w:val="single" w:sz="8" w:color="E5FFFF"/>
            </w:tcBorders>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(13,328)</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960" w:type="dxa"/>
            <w:vAlign w:val="bottom"/>
            <w:gridSpan w:val="2"/>
          </w:tcPr>
          <w:p>
            <w:pPr>
              <w:spacing w:after="0"/>
              <w:rPr>
                <w:sz w:val="20"/>
                <w:szCs w:val="20"/>
                <w:color w:val="auto"/>
              </w:rPr>
            </w:pPr>
            <w:r>
              <w:rPr>
                <w:rFonts w:ascii="Arial" w:cs="Arial" w:eastAsia="Arial" w:hAnsi="Arial"/>
                <w:sz w:val="14"/>
                <w:szCs w:val="14"/>
                <w:color w:val="auto"/>
              </w:rPr>
              <w:t>Noncontrolling interests distribution and other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220" w:type="dxa"/>
            <w:vAlign w:val="bottom"/>
            <w:tcBorders>
              <w:right w:val="single" w:sz="8" w:color="E5FFFF"/>
            </w:tcBorders>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tcBorders>
              <w:lef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40" w:type="dxa"/>
            <w:vAlign w:val="bottom"/>
            <w:gridSpan w:val="3"/>
            <w:shd w:val="clear" w:color="auto" w:fill="E5FFFF"/>
          </w:tcPr>
          <w:p>
            <w:pPr>
              <w:jc w:val="right"/>
              <w:ind w:right="440"/>
              <w:spacing w:after="0" w:line="149" w:lineRule="exact"/>
              <w:rPr>
                <w:sz w:val="20"/>
                <w:szCs w:val="20"/>
                <w:color w:val="auto"/>
              </w:rPr>
            </w:pPr>
            <w:r>
              <w:rPr>
                <w:rFonts w:ascii="Arial" w:cs="Arial" w:eastAsia="Arial" w:hAnsi="Arial"/>
                <w:sz w:val="14"/>
                <w:szCs w:val="14"/>
                <w:color w:val="auto"/>
              </w:rPr>
              <w:t>63</w:t>
            </w:r>
          </w:p>
        </w:tc>
        <w:tc>
          <w:tcPr>
            <w:tcW w:w="80" w:type="dxa"/>
            <w:vAlign w:val="bottom"/>
            <w:tcBorders>
              <w:left w:val="single" w:sz="8" w:color="E5FFFF"/>
            </w:tcBorders>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960" w:type="dxa"/>
            <w:vAlign w:val="bottom"/>
            <w:gridSpan w:val="2"/>
          </w:tcPr>
          <w:p>
            <w:pPr>
              <w:spacing w:after="0"/>
              <w:rPr>
                <w:sz w:val="20"/>
                <w:szCs w:val="20"/>
                <w:color w:val="auto"/>
              </w:rPr>
            </w:pPr>
            <w:r>
              <w:rPr>
                <w:rFonts w:ascii="Arial" w:cs="Arial" w:eastAsia="Arial" w:hAnsi="Arial"/>
                <w:sz w:val="14"/>
                <w:szCs w:val="14"/>
                <w:color w:val="auto"/>
              </w:rPr>
              <w:t>Stock based compensation expense</w:t>
            </w:r>
          </w:p>
        </w:tc>
        <w:tc>
          <w:tcPr>
            <w:tcW w:w="88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4"/>
                <w:szCs w:val="24"/>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6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Balance at October 31, 2020</w:t>
            </w:r>
          </w:p>
        </w:tc>
        <w:tc>
          <w:tcPr>
            <w:tcW w:w="880" w:type="dxa"/>
            <w:vAlign w:val="bottom"/>
            <w:gridSpan w:val="3"/>
            <w:shd w:val="clear" w:color="auto" w:fill="E5FFFF"/>
          </w:tcPr>
          <w:p>
            <w:pPr>
              <w:jc w:val="right"/>
              <w:ind w:right="268"/>
              <w:spacing w:after="0"/>
              <w:rPr>
                <w:sz w:val="20"/>
                <w:szCs w:val="20"/>
                <w:color w:val="auto"/>
              </w:rPr>
            </w:pPr>
            <w:r>
              <w:rPr>
                <w:rFonts w:ascii="Arial" w:cs="Arial" w:eastAsia="Arial" w:hAnsi="Arial"/>
                <w:sz w:val="14"/>
                <w:szCs w:val="14"/>
                <w:color w:val="auto"/>
              </w:rPr>
              <w:t>29,853</w:t>
            </w:r>
          </w:p>
        </w:tc>
        <w:tc>
          <w:tcPr>
            <w:tcW w:w="20" w:type="dxa"/>
            <w:vAlign w:val="bottom"/>
            <w:shd w:val="clear" w:color="auto" w:fill="E5FFFF"/>
          </w:tcPr>
          <w:p>
            <w:pPr>
              <w:spacing w:after="0"/>
              <w:rPr>
                <w:sz w:val="15"/>
                <w:szCs w:val="15"/>
                <w:color w:val="auto"/>
              </w:rPr>
            </w:pPr>
          </w:p>
        </w:tc>
        <w:tc>
          <w:tcPr>
            <w:tcW w:w="360" w:type="dxa"/>
            <w:vAlign w:val="bottom"/>
            <w:gridSpan w:val="3"/>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4"/>
                <w:szCs w:val="14"/>
                <w:color w:val="auto"/>
                <w:w w:val="85"/>
              </w:rPr>
              <w:t>299</w:t>
            </w:r>
          </w:p>
        </w:tc>
        <w:tc>
          <w:tcPr>
            <w:tcW w:w="1040" w:type="dxa"/>
            <w:vAlign w:val="bottom"/>
            <w:tcBorders>
              <w:right w:val="single" w:sz="8" w:color="E5FFFF"/>
            </w:tcBorders>
            <w:gridSpan w:val="3"/>
            <w:shd w:val="clear" w:color="auto" w:fill="E5FFFF"/>
          </w:tcPr>
          <w:p>
            <w:pPr>
              <w:jc w:val="right"/>
              <w:ind w:right="428"/>
              <w:spacing w:after="0"/>
              <w:rPr>
                <w:sz w:val="20"/>
                <w:szCs w:val="20"/>
                <w:color w:val="auto"/>
              </w:rPr>
            </w:pPr>
            <w:r>
              <w:rPr>
                <w:rFonts w:ascii="Arial" w:cs="Arial" w:eastAsia="Arial" w:hAnsi="Arial"/>
                <w:sz w:val="14"/>
                <w:szCs w:val="14"/>
                <w:color w:val="auto"/>
              </w:rPr>
              <w:t>23,852</w:t>
            </w:r>
          </w:p>
        </w:tc>
        <w:tc>
          <w:tcPr>
            <w:tcW w:w="920" w:type="dxa"/>
            <w:vAlign w:val="bottom"/>
            <w:gridSpan w:val="3"/>
            <w:shd w:val="clear" w:color="auto" w:fill="E5FFFF"/>
          </w:tcPr>
          <w:p>
            <w:pPr>
              <w:jc w:val="right"/>
              <w:ind w:right="320"/>
              <w:spacing w:after="0"/>
              <w:rPr>
                <w:sz w:val="20"/>
                <w:szCs w:val="20"/>
                <w:color w:val="auto"/>
              </w:rPr>
            </w:pPr>
            <w:r>
              <w:rPr>
                <w:rFonts w:ascii="Arial" w:cs="Arial" w:eastAsia="Arial" w:hAnsi="Arial"/>
                <w:sz w:val="14"/>
                <w:szCs w:val="14"/>
                <w:color w:val="auto"/>
                <w:w w:val="80"/>
              </w:rPr>
              <w:t>$ (353,910)</w:t>
            </w:r>
          </w:p>
        </w:tc>
        <w:tc>
          <w:tcPr>
            <w:tcW w:w="140" w:type="dxa"/>
            <w:vAlign w:val="bottom"/>
            <w:tcBorders>
              <w:left w:val="single" w:sz="8" w:color="E5FFFF"/>
            </w:tcBorders>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E5FFFF"/>
          </w:tcPr>
          <w:p>
            <w:pPr>
              <w:jc w:val="right"/>
              <w:ind w:right="380"/>
              <w:spacing w:after="0"/>
              <w:rPr>
                <w:sz w:val="20"/>
                <w:szCs w:val="20"/>
                <w:color w:val="auto"/>
              </w:rPr>
            </w:pPr>
            <w:r>
              <w:rPr>
                <w:rFonts w:ascii="Arial" w:cs="Arial" w:eastAsia="Arial" w:hAnsi="Arial"/>
                <w:sz w:val="14"/>
                <w:szCs w:val="14"/>
                <w:color w:val="auto"/>
                <w:w w:val="98"/>
              </w:rPr>
              <w:t>149,077</w:t>
            </w:r>
          </w:p>
        </w:tc>
        <w:tc>
          <w:tcPr>
            <w:tcW w:w="1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586,443</w:t>
            </w:r>
          </w:p>
        </w:tc>
        <w:tc>
          <w:tcPr>
            <w:tcW w:w="74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E5FFFF"/>
          </w:tcPr>
          <w:p>
            <w:pPr>
              <w:jc w:val="right"/>
              <w:ind w:right="440"/>
              <w:spacing w:after="0"/>
              <w:rPr>
                <w:sz w:val="20"/>
                <w:szCs w:val="20"/>
                <w:color w:val="auto"/>
              </w:rPr>
            </w:pPr>
            <w:r>
              <w:rPr>
                <w:rFonts w:ascii="Arial" w:cs="Arial" w:eastAsia="Arial" w:hAnsi="Arial"/>
                <w:sz w:val="14"/>
                <w:szCs w:val="14"/>
                <w:color w:val="auto"/>
              </w:rPr>
              <w:t>53,542</w:t>
            </w:r>
          </w:p>
        </w:tc>
        <w:tc>
          <w:tcPr>
            <w:tcW w:w="80" w:type="dxa"/>
            <w:vAlign w:val="bottom"/>
            <w:tcBorders>
              <w:left w:val="single" w:sz="8" w:color="E5FFFF"/>
            </w:tcBorders>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435,451</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960" w:type="dxa"/>
            <w:vAlign w:val="bottom"/>
            <w:gridSpan w:val="2"/>
          </w:tcPr>
          <w:p>
            <w:pPr>
              <w:spacing w:after="0"/>
              <w:rPr>
                <w:sz w:val="20"/>
                <w:szCs w:val="20"/>
                <w:color w:val="auto"/>
              </w:rPr>
            </w:pPr>
            <w:r>
              <w:rPr>
                <w:rFonts w:ascii="Arial" w:cs="Arial" w:eastAsia="Arial" w:hAnsi="Arial"/>
                <w:sz w:val="14"/>
                <w:szCs w:val="14"/>
                <w:color w:val="auto"/>
              </w:rPr>
              <w:t>Balance at January 31, 2020</w:t>
            </w:r>
          </w:p>
        </w:tc>
        <w:tc>
          <w:tcPr>
            <w:tcW w:w="880" w:type="dxa"/>
            <w:vAlign w:val="bottom"/>
            <w:gridSpan w:val="3"/>
          </w:tcPr>
          <w:p>
            <w:pPr>
              <w:jc w:val="right"/>
              <w:ind w:right="268"/>
              <w:spacing w:after="0"/>
              <w:rPr>
                <w:sz w:val="20"/>
                <w:szCs w:val="20"/>
                <w:color w:val="auto"/>
              </w:rPr>
            </w:pPr>
            <w:r>
              <w:rPr>
                <w:rFonts w:ascii="Arial" w:cs="Arial" w:eastAsia="Arial" w:hAnsi="Arial"/>
                <w:sz w:val="14"/>
                <w:szCs w:val="14"/>
                <w:color w:val="auto"/>
              </w:rPr>
              <w:t>29,853</w:t>
            </w:r>
          </w:p>
        </w:tc>
        <w:tc>
          <w:tcPr>
            <w:tcW w:w="20" w:type="dxa"/>
            <w:vAlign w:val="bottom"/>
          </w:tcPr>
          <w:p>
            <w:pPr>
              <w:spacing w:after="0"/>
              <w:rPr>
                <w:sz w:val="24"/>
                <w:szCs w:val="2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299</w:t>
            </w:r>
          </w:p>
        </w:tc>
        <w:tc>
          <w:tcPr>
            <w:tcW w:w="1040" w:type="dxa"/>
            <w:vAlign w:val="bottom"/>
            <w:gridSpan w:val="3"/>
          </w:tcPr>
          <w:p>
            <w:pPr>
              <w:jc w:val="right"/>
              <w:ind w:right="428"/>
              <w:spacing w:after="0"/>
              <w:rPr>
                <w:sz w:val="20"/>
                <w:szCs w:val="20"/>
                <w:color w:val="auto"/>
              </w:rPr>
            </w:pPr>
            <w:r>
              <w:rPr>
                <w:rFonts w:ascii="Arial" w:cs="Arial" w:eastAsia="Arial" w:hAnsi="Arial"/>
                <w:sz w:val="14"/>
                <w:szCs w:val="14"/>
                <w:color w:val="auto"/>
              </w:rPr>
              <w:t>23,561</w:t>
            </w: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w w:val="80"/>
              </w:rPr>
              <w:t>$ (335,066)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148,789</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586,985</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52,599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453,606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Net (loss) income</w:t>
            </w: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220" w:type="dxa"/>
            <w:vAlign w:val="bottom"/>
            <w:tcBorders>
              <w:right w:val="single" w:sz="8" w:color="E5FFFF"/>
            </w:tcBorders>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tcBorders>
              <w:lef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4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(542)</w:t>
            </w: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40" w:type="dxa"/>
            <w:vAlign w:val="bottom"/>
            <w:gridSpan w:val="3"/>
            <w:shd w:val="clear" w:color="auto" w:fill="E5FFFF"/>
          </w:tcPr>
          <w:p>
            <w:pPr>
              <w:jc w:val="right"/>
              <w:ind w:right="440"/>
              <w:spacing w:after="0" w:line="149" w:lineRule="exact"/>
              <w:rPr>
                <w:sz w:val="20"/>
                <w:szCs w:val="20"/>
                <w:color w:val="auto"/>
              </w:rPr>
            </w:pPr>
            <w:r>
              <w:rPr>
                <w:rFonts w:ascii="Arial" w:cs="Arial" w:eastAsia="Arial" w:hAnsi="Arial"/>
                <w:sz w:val="14"/>
                <w:szCs w:val="14"/>
                <w:color w:val="auto"/>
              </w:rPr>
              <w:t>1,138</w:t>
            </w:r>
          </w:p>
        </w:tc>
        <w:tc>
          <w:tcPr>
            <w:tcW w:w="80" w:type="dxa"/>
            <w:vAlign w:val="bottom"/>
            <w:tcBorders>
              <w:left w:val="single" w:sz="8" w:color="E5FFFF"/>
            </w:tcBorders>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596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Treasury stock acquired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3"/>
          </w:tcPr>
          <w:p>
            <w:pPr>
              <w:jc w:val="right"/>
              <w:ind w:right="428"/>
              <w:spacing w:after="0"/>
              <w:rPr>
                <w:sz w:val="20"/>
                <w:szCs w:val="20"/>
                <w:color w:val="auto"/>
              </w:rPr>
            </w:pPr>
            <w:r>
              <w:rPr>
                <w:rFonts w:ascii="Arial" w:cs="Arial" w:eastAsia="Arial" w:hAnsi="Arial"/>
                <w:sz w:val="14"/>
                <w:szCs w:val="14"/>
                <w:color w:val="auto"/>
              </w:rPr>
              <w:t>306</w:t>
            </w: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rPr>
              <w:t>(18,918)</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(18,918)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220" w:type="dxa"/>
            <w:vAlign w:val="bottom"/>
            <w:tcBorders>
              <w:right w:val="single" w:sz="8" w:color="E5FFFF"/>
            </w:tcBorders>
            <w:shd w:val="clear" w:color="auto" w:fill="E5FFFF"/>
          </w:tcPr>
          <w:p>
            <w:pPr>
              <w:spacing w:after="0"/>
              <w:rPr>
                <w:sz w:val="12"/>
                <w:szCs w:val="12"/>
                <w:color w:val="auto"/>
              </w:rPr>
            </w:pPr>
          </w:p>
        </w:tc>
        <w:tc>
          <w:tcPr>
            <w:tcW w:w="440" w:type="dxa"/>
            <w:vAlign w:val="bottom"/>
            <w:tcBorders>
              <w:right w:val="single" w:sz="8" w:color="E5FFFF"/>
            </w:tcBorders>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20" w:type="dxa"/>
            <w:vAlign w:val="bottom"/>
            <w:tcBorders>
              <w:right w:val="single" w:sz="8" w:color="E5FFFF"/>
            </w:tcBorders>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tcBorders>
              <w:lef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940" w:type="dxa"/>
            <w:vAlign w:val="bottom"/>
            <w:gridSpan w:val="3"/>
            <w:shd w:val="clear" w:color="auto" w:fill="E5FFFF"/>
          </w:tcPr>
          <w:p>
            <w:pPr>
              <w:jc w:val="right"/>
              <w:ind w:right="440"/>
              <w:spacing w:after="0" w:line="149" w:lineRule="exact"/>
              <w:rPr>
                <w:sz w:val="20"/>
                <w:szCs w:val="20"/>
                <w:color w:val="auto"/>
              </w:rPr>
            </w:pPr>
            <w:r>
              <w:rPr>
                <w:rFonts w:ascii="Arial" w:cs="Arial" w:eastAsia="Arial" w:hAnsi="Arial"/>
                <w:sz w:val="14"/>
                <w:szCs w:val="14"/>
                <w:color w:val="auto"/>
              </w:rPr>
              <w:t>(283)</w:t>
            </w:r>
          </w:p>
        </w:tc>
        <w:tc>
          <w:tcPr>
            <w:tcW w:w="80" w:type="dxa"/>
            <w:vAlign w:val="bottom"/>
            <w:tcBorders>
              <w:left w:val="single" w:sz="8" w:color="E5FFFF"/>
            </w:tcBorders>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(283)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960" w:type="dxa"/>
            <w:vAlign w:val="bottom"/>
            <w:gridSpan w:val="2"/>
          </w:tcPr>
          <w:p>
            <w:pPr>
              <w:spacing w:after="0"/>
              <w:rPr>
                <w:sz w:val="20"/>
                <w:szCs w:val="20"/>
                <w:color w:val="auto"/>
              </w:rPr>
            </w:pPr>
            <w:r>
              <w:rPr>
                <w:rFonts w:ascii="Arial" w:cs="Arial" w:eastAsia="Arial" w:hAnsi="Arial"/>
                <w:sz w:val="14"/>
                <w:szCs w:val="14"/>
                <w:color w:val="auto"/>
              </w:rPr>
              <w:t>Capital contributions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420" w:type="dxa"/>
            <w:vAlign w:val="bottom"/>
            <w:shd w:val="clear" w:color="auto" w:fill="E5FFFF"/>
          </w:tcPr>
          <w:p>
            <w:pPr>
              <w:spacing w:after="0"/>
              <w:rPr>
                <w:sz w:val="11"/>
                <w:szCs w:val="11"/>
                <w:color w:val="auto"/>
              </w:rPr>
            </w:pPr>
          </w:p>
        </w:tc>
        <w:tc>
          <w:tcPr>
            <w:tcW w:w="120" w:type="dxa"/>
            <w:vAlign w:val="bottom"/>
            <w:tcBorders>
              <w:right w:val="single" w:sz="8" w:color="E5FFFF"/>
            </w:tcBorders>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220" w:type="dxa"/>
            <w:vAlign w:val="bottom"/>
            <w:tcBorders>
              <w:right w:val="single" w:sz="8" w:color="E5FFFF"/>
            </w:tcBorders>
            <w:shd w:val="clear" w:color="auto" w:fill="E5FFFF"/>
          </w:tcPr>
          <w:p>
            <w:pPr>
              <w:spacing w:after="0"/>
              <w:rPr>
                <w:sz w:val="11"/>
                <w:szCs w:val="11"/>
                <w:color w:val="auto"/>
              </w:rPr>
            </w:pPr>
          </w:p>
        </w:tc>
        <w:tc>
          <w:tcPr>
            <w:tcW w:w="440" w:type="dxa"/>
            <w:vAlign w:val="bottom"/>
            <w:tcBorders>
              <w:right w:val="single" w:sz="8" w:color="E5FFFF"/>
            </w:tcBorders>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20" w:type="dxa"/>
            <w:vAlign w:val="bottom"/>
            <w:tcBorders>
              <w:right w:val="single" w:sz="8" w:color="E5FFFF"/>
            </w:tcBorders>
            <w:shd w:val="clear" w:color="auto" w:fill="E5FFFF"/>
          </w:tcPr>
          <w:p>
            <w:pPr>
              <w:spacing w:after="0"/>
              <w:rPr>
                <w:sz w:val="11"/>
                <w:szCs w:val="11"/>
                <w:color w:val="auto"/>
              </w:rPr>
            </w:pPr>
          </w:p>
        </w:tc>
        <w:tc>
          <w:tcPr>
            <w:tcW w:w="500" w:type="dxa"/>
            <w:vAlign w:val="bottom"/>
            <w:tcBorders>
              <w:right w:val="single" w:sz="8" w:color="E5FFFF"/>
            </w:tcBorders>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tcBorders>
              <w:left w:val="single" w:sz="8" w:color="E5FFFF"/>
            </w:tcBorders>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38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3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30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80" w:type="dxa"/>
            <w:vAlign w:val="bottom"/>
            <w:tcBorders>
              <w:left w:val="single" w:sz="8" w:color="E5FFFF"/>
            </w:tcBorders>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6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compensation expense</w:t>
            </w:r>
          </w:p>
        </w:tc>
        <w:tc>
          <w:tcPr>
            <w:tcW w:w="880" w:type="dxa"/>
            <w:vAlign w:val="bottom"/>
            <w:gridSpan w:val="3"/>
            <w:shd w:val="clear" w:color="auto" w:fill="E5FFFF"/>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66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E5FFFF"/>
            </w:tcBorders>
            <w:gridSpan w:val="3"/>
            <w:shd w:val="clear" w:color="auto" w:fill="E5FFFF"/>
          </w:tcPr>
          <w:p>
            <w:pPr>
              <w:jc w:val="right"/>
              <w:ind w:right="428"/>
              <w:spacing w:after="0"/>
              <w:rPr>
                <w:sz w:val="20"/>
                <w:szCs w:val="20"/>
                <w:color w:val="auto"/>
              </w:rPr>
            </w:pPr>
            <w:r>
              <w:rPr>
                <w:rFonts w:ascii="Arial" w:cs="Arial" w:eastAsia="Arial" w:hAnsi="Arial"/>
                <w:sz w:val="14"/>
                <w:szCs w:val="14"/>
                <w:color w:val="auto"/>
              </w:rPr>
              <w:t>(15)</w:t>
            </w:r>
          </w:p>
        </w:tc>
        <w:tc>
          <w:tcPr>
            <w:tcW w:w="920" w:type="dxa"/>
            <w:vAlign w:val="bottom"/>
            <w:gridSpan w:val="3"/>
            <w:shd w:val="clear" w:color="auto" w:fill="E5FFFF"/>
          </w:tcPr>
          <w:p>
            <w:pPr>
              <w:jc w:val="right"/>
              <w:ind w:right="320"/>
              <w:spacing w:after="0"/>
              <w:rPr>
                <w:sz w:val="20"/>
                <w:szCs w:val="20"/>
                <w:color w:val="auto"/>
              </w:rPr>
            </w:pPr>
            <w:r>
              <w:rPr>
                <w:rFonts w:ascii="Arial" w:cs="Arial" w:eastAsia="Arial" w:hAnsi="Arial"/>
                <w:sz w:val="14"/>
                <w:szCs w:val="14"/>
                <w:color w:val="auto"/>
              </w:rPr>
              <w:t>74</w:t>
            </w:r>
          </w:p>
        </w:tc>
        <w:tc>
          <w:tcPr>
            <w:tcW w:w="140" w:type="dxa"/>
            <w:vAlign w:val="bottom"/>
            <w:tcBorders>
              <w:left w:val="single" w:sz="8" w:color="E5FFFF"/>
            </w:tcBorders>
            <w:shd w:val="clear" w:color="auto" w:fill="E5FFFF"/>
          </w:tcPr>
          <w:p>
            <w:pPr>
              <w:spacing w:after="0"/>
              <w:rPr>
                <w:sz w:val="15"/>
                <w:szCs w:val="15"/>
                <w:color w:val="auto"/>
              </w:rPr>
            </w:pPr>
          </w:p>
        </w:tc>
        <w:tc>
          <w:tcPr>
            <w:tcW w:w="900" w:type="dxa"/>
            <w:vAlign w:val="bottom"/>
            <w:gridSpan w:val="3"/>
            <w:shd w:val="clear" w:color="auto" w:fill="E5FFFF"/>
          </w:tcPr>
          <w:p>
            <w:pPr>
              <w:jc w:val="right"/>
              <w:ind w:right="380"/>
              <w:spacing w:after="0"/>
              <w:rPr>
                <w:sz w:val="20"/>
                <w:szCs w:val="20"/>
                <w:color w:val="auto"/>
              </w:rPr>
            </w:pPr>
            <w:r>
              <w:rPr>
                <w:rFonts w:ascii="Arial" w:cs="Arial" w:eastAsia="Arial" w:hAnsi="Arial"/>
                <w:sz w:val="14"/>
                <w:szCs w:val="14"/>
                <w:color w:val="auto"/>
              </w:rPr>
              <w:t>288</w:t>
            </w:r>
          </w:p>
        </w:tc>
        <w:tc>
          <w:tcPr>
            <w:tcW w:w="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74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940" w:type="dxa"/>
            <w:vAlign w:val="bottom"/>
            <w:gridSpan w:val="3"/>
            <w:shd w:val="clear" w:color="auto" w:fill="E5FF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E5FFFF"/>
            </w:tcBorders>
            <w:shd w:val="clear" w:color="auto" w:fill="E5FFFF"/>
          </w:tcPr>
          <w:p>
            <w:pPr>
              <w:spacing w:after="0"/>
              <w:rPr>
                <w:sz w:val="15"/>
                <w:szCs w:val="15"/>
                <w:color w:val="auto"/>
              </w:rPr>
            </w:pP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color w:val="auto"/>
              </w:rPr>
              <w:t>Balance at October 31, 2020</w:t>
            </w: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960" w:type="dxa"/>
            <w:vAlign w:val="bottom"/>
            <w:gridSpan w:val="2"/>
            <w:vMerge w:val="continue"/>
          </w:tcPr>
          <w:p>
            <w:pPr>
              <w:spacing w:after="0"/>
              <w:rPr>
                <w:sz w:val="24"/>
                <w:szCs w:val="24"/>
                <w:color w:val="auto"/>
              </w:rPr>
            </w:pPr>
          </w:p>
        </w:tc>
        <w:tc>
          <w:tcPr>
            <w:tcW w:w="880" w:type="dxa"/>
            <w:vAlign w:val="bottom"/>
            <w:gridSpan w:val="3"/>
          </w:tcPr>
          <w:p>
            <w:pPr>
              <w:jc w:val="right"/>
              <w:ind w:right="268"/>
              <w:spacing w:after="0"/>
              <w:rPr>
                <w:sz w:val="20"/>
                <w:szCs w:val="20"/>
                <w:color w:val="auto"/>
              </w:rPr>
            </w:pPr>
            <w:r>
              <w:rPr>
                <w:rFonts w:ascii="Arial" w:cs="Arial" w:eastAsia="Arial" w:hAnsi="Arial"/>
                <w:sz w:val="14"/>
                <w:szCs w:val="14"/>
                <w:color w:val="auto"/>
              </w:rPr>
              <w:t>29,853</w:t>
            </w:r>
          </w:p>
        </w:tc>
        <w:tc>
          <w:tcPr>
            <w:tcW w:w="20" w:type="dxa"/>
            <w:vAlign w:val="bottom"/>
          </w:tcPr>
          <w:p>
            <w:pPr>
              <w:spacing w:after="0"/>
              <w:rPr>
                <w:sz w:val="24"/>
                <w:szCs w:val="2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299</w:t>
            </w:r>
          </w:p>
        </w:tc>
        <w:tc>
          <w:tcPr>
            <w:tcW w:w="1040" w:type="dxa"/>
            <w:vAlign w:val="bottom"/>
            <w:gridSpan w:val="3"/>
          </w:tcPr>
          <w:p>
            <w:pPr>
              <w:jc w:val="right"/>
              <w:ind w:right="428"/>
              <w:spacing w:after="0"/>
              <w:rPr>
                <w:sz w:val="20"/>
                <w:szCs w:val="20"/>
                <w:color w:val="auto"/>
              </w:rPr>
            </w:pPr>
            <w:r>
              <w:rPr>
                <w:rFonts w:ascii="Arial" w:cs="Arial" w:eastAsia="Arial" w:hAnsi="Arial"/>
                <w:sz w:val="14"/>
                <w:szCs w:val="14"/>
                <w:color w:val="auto"/>
              </w:rPr>
              <w:t>23,852</w:t>
            </w:r>
          </w:p>
        </w:tc>
        <w:tc>
          <w:tcPr>
            <w:tcW w:w="920" w:type="dxa"/>
            <w:vAlign w:val="bottom"/>
            <w:gridSpan w:val="3"/>
          </w:tcPr>
          <w:p>
            <w:pPr>
              <w:jc w:val="right"/>
              <w:ind w:right="320"/>
              <w:spacing w:after="0"/>
              <w:rPr>
                <w:sz w:val="20"/>
                <w:szCs w:val="20"/>
                <w:color w:val="auto"/>
              </w:rPr>
            </w:pPr>
            <w:r>
              <w:rPr>
                <w:rFonts w:ascii="Arial" w:cs="Arial" w:eastAsia="Arial" w:hAnsi="Arial"/>
                <w:sz w:val="14"/>
                <w:szCs w:val="14"/>
                <w:color w:val="auto"/>
                <w:w w:val="80"/>
              </w:rPr>
              <w:t>$ (353,910)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149,077</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586,443</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40"/>
              <w:spacing w:after="0"/>
              <w:rPr>
                <w:sz w:val="20"/>
                <w:szCs w:val="20"/>
                <w:color w:val="auto"/>
              </w:rPr>
            </w:pPr>
            <w:r>
              <w:rPr>
                <w:rFonts w:ascii="Arial" w:cs="Arial" w:eastAsia="Arial" w:hAnsi="Arial"/>
                <w:sz w:val="14"/>
                <w:szCs w:val="14"/>
                <w:color w:val="auto"/>
              </w:rPr>
              <w:t>53,542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435,451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 Thousands)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2021</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October 31,</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35,153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7020" w:type="dxa"/>
            <w:vAlign w:val="bottom"/>
            <w:shd w:val="clear" w:color="auto" w:fill="E5FFFF"/>
          </w:tcPr>
          <w:p>
            <w:pPr>
              <w:spacing w:after="0"/>
              <w:rPr>
                <w:sz w:val="20"/>
                <w:szCs w:val="20"/>
                <w:color w:val="auto"/>
              </w:rPr>
            </w:pPr>
            <w:r>
              <w:rPr>
                <w:rFonts w:ascii="Arial" w:cs="Arial" w:eastAsia="Arial" w:hAnsi="Arial"/>
                <w:sz w:val="18"/>
                <w:szCs w:val="18"/>
                <w:color w:val="auto"/>
              </w:rPr>
              <w:t>Net income from discontinued operations, net of tax</w:t>
            </w:r>
          </w:p>
        </w:tc>
        <w:tc>
          <w:tcPr>
            <w:tcW w:w="154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4,263</w:t>
            </w:r>
          </w:p>
        </w:tc>
        <w:tc>
          <w:tcPr>
            <w:tcW w:w="380" w:type="dxa"/>
            <w:vAlign w:val="bottom"/>
            <w:shd w:val="clear" w:color="auto" w:fill="E5FFFF"/>
          </w:tcPr>
          <w:p>
            <w:pPr>
              <w:spacing w:after="0"/>
              <w:rPr>
                <w:sz w:val="19"/>
                <w:szCs w:val="19"/>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5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30,890</w:t>
            </w: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Adjustments to reconcile net income (loss) to net cash provided by (used in)</w:t>
            </w:r>
          </w:p>
        </w:tc>
        <w:tc>
          <w:tcPr>
            <w:tcW w:w="15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operating activities:</w:t>
            </w:r>
          </w:p>
        </w:tc>
        <w:tc>
          <w:tcPr>
            <w:tcW w:w="15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13,505</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4,128</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(2,763)</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Dividends received from equity method investee</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1,504</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Interest income from investments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income tax</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5,840</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Stock based compensation expense</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1,100</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Gain on sale of property and equipment – net</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(20,313)</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7,673</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Refundable income taxes</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(332)</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1,912</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payable, trade</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10,916</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2,776</w:t>
            </w:r>
          </w:p>
        </w:tc>
        <w:tc>
          <w:tcPr>
            <w:tcW w:w="3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09"/>
        </w:trPr>
        <w:tc>
          <w:tcPr>
            <w:tcW w:w="7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5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56,799</w:t>
            </w:r>
          </w:p>
        </w:tc>
        <w:tc>
          <w:tcPr>
            <w:tcW w:w="44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7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23,704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(6,368)</w:t>
            </w:r>
          </w:p>
        </w:tc>
        <w:tc>
          <w:tcPr>
            <w:tcW w:w="3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9"/>
        </w:trPr>
        <w:tc>
          <w:tcPr>
            <w:tcW w:w="7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50,431</w:t>
            </w:r>
          </w:p>
        </w:tc>
        <w:tc>
          <w:tcPr>
            <w:tcW w:w="44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bottom w:val="single" w:sz="8" w:color="auto"/>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21,499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Capital expenditures</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(4,245)</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(67,412)</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(68,225)</w:t>
            </w: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Sale of short-term investments</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82,022</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65,282</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0"/>
        </w:trPr>
        <w:tc>
          <w:tcPr>
            <w:tcW w:w="7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10,405</w:t>
            </w:r>
          </w:p>
        </w:tc>
        <w:tc>
          <w:tcPr>
            <w:tcW w:w="44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bottom w:val="single" w:sz="8" w:color="auto"/>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Treasury stock acquired</w:t>
            </w:r>
          </w:p>
        </w:tc>
        <w:tc>
          <w:tcPr>
            <w:tcW w:w="15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(6,627)</w:t>
            </w:r>
          </w:p>
        </w:tc>
        <w:tc>
          <w:tcPr>
            <w:tcW w:w="3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(18,089)</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(1,515)</w:t>
            </w:r>
          </w:p>
        </w:tc>
        <w:tc>
          <w:tcPr>
            <w:tcW w:w="3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9"/>
        </w:trPr>
        <w:tc>
          <w:tcPr>
            <w:tcW w:w="7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 from continuing operations</w:t>
            </w:r>
          </w:p>
        </w:tc>
        <w:tc>
          <w:tcPr>
            <w:tcW w:w="15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7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(8,142)</w:t>
            </w:r>
          </w:p>
        </w:tc>
        <w:tc>
          <w:tcPr>
            <w:tcW w:w="44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7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(18,372)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Net cash provided by financing activities from discontinued operations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280</w:t>
            </w:r>
          </w:p>
        </w:tc>
        <w:tc>
          <w:tcPr>
            <w:tcW w:w="3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7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w:t>
            </w:r>
          </w:p>
        </w:tc>
        <w:tc>
          <w:tcPr>
            <w:tcW w:w="15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(7,862)</w:t>
            </w:r>
          </w:p>
        </w:tc>
        <w:tc>
          <w:tcPr>
            <w:tcW w:w="44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auto"/>
              <w:bottom w:val="single" w:sz="8" w:color="auto"/>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(18,284)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52,974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(6,812)</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146,158</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180,771</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199,132</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173,959</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7840" w:space="720"/>
            <w:col w:w="2680"/>
          </w:cols>
          <w:pgMar w:left="320" w:top="405" w:right="339" w:bottom="1440" w:gutter="0" w:footer="0" w:header="0"/>
          <w:type w:val="continuous"/>
        </w:sectPr>
      </w:pPr>
    </w:p>
    <w:p>
      <w:pPr>
        <w:spacing w:after="0"/>
        <w:rPr>
          <w:sz w:val="20"/>
          <w:szCs w:val="20"/>
          <w:color w:val="auto"/>
        </w:rPr>
      </w:pPr>
      <w:r>
        <w:rPr>
          <w:rFonts w:ascii="Arial" w:cs="Arial" w:eastAsia="Arial" w:hAnsi="Arial"/>
          <w:sz w:val="14"/>
          <w:szCs w:val="14"/>
          <w:color w:val="auto"/>
        </w:rPr>
        <w:t>Continued on the following page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 w:name="page8"/>
    <w:bookmarkEnd w:id="7"/>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80" w:type="dxa"/>
            <w:vAlign w:val="bottom"/>
          </w:tcPr>
          <w:p>
            <w:pPr>
              <w:spacing w:after="0"/>
              <w:rPr>
                <w:sz w:val="20"/>
                <w:szCs w:val="20"/>
                <w:color w:val="auto"/>
              </w:rPr>
            </w:pPr>
            <w:r>
              <w:rPr>
                <w:rFonts w:ascii="Arial" w:cs="Arial" w:eastAsia="Arial" w:hAnsi="Arial"/>
                <w:sz w:val="14"/>
                <w:szCs w:val="14"/>
                <w:color w:val="auto"/>
              </w:rPr>
              <w:t>Continued from the previous page</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Non cash investing activities – Accrued capital expenditures</w:t>
            </w:r>
          </w:p>
        </w:tc>
        <w:tc>
          <w:tcPr>
            <w:tcW w:w="1840" w:type="dxa"/>
            <w:vAlign w:val="bottom"/>
            <w:gridSpan w:val="2"/>
            <w:shd w:val="clear" w:color="auto" w:fill="E5FFFF"/>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6980" w:type="dxa"/>
            <w:vAlign w:val="bottom"/>
            <w:tcBorders>
              <w:top w:val="single" w:sz="8" w:color="E5FFFF"/>
              <w:bottom w:val="single" w:sz="8" w:color="E5FFFF"/>
            </w:tcBorders>
            <w:vMerge w:val="restart"/>
          </w:tcPr>
          <w:p>
            <w:pPr>
              <w:ind w:left="180"/>
              <w:spacing w:after="0"/>
              <w:rPr>
                <w:sz w:val="20"/>
                <w:szCs w:val="20"/>
                <w:color w:val="auto"/>
              </w:rPr>
            </w:pPr>
            <w:r>
              <w:rPr>
                <w:rFonts w:ascii="Arial" w:cs="Arial" w:eastAsia="Arial" w:hAnsi="Arial"/>
                <w:sz w:val="18"/>
                <w:szCs w:val="18"/>
                <w:color w:val="auto"/>
              </w:rPr>
              <w:t>Non cash financing activities – Stock awards accrued</w:t>
            </w:r>
          </w:p>
        </w:tc>
        <w:tc>
          <w:tcPr>
            <w:tcW w:w="1580" w:type="dxa"/>
            <w:vAlign w:val="bottom"/>
            <w:tcBorders>
              <w:top w:val="single" w:sz="8" w:color="E5FFFF"/>
              <w:bottom w:val="single" w:sz="8" w:color="E5FF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bottom w:val="single" w:sz="8" w:color="E5FF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bottom w:val="single" w:sz="8" w:color="E5FFFF"/>
            </w:tcBorders>
            <w:vMerge w:val="restart"/>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Borders>
              <w:bottom w:val="single" w:sz="8" w:color="E5FFFF"/>
            </w:tcBorders>
            <w:vMerge w:val="continue"/>
          </w:tcPr>
          <w:p>
            <w:pPr>
              <w:spacing w:after="0"/>
              <w:rPr>
                <w:sz w:val="20"/>
                <w:szCs w:val="20"/>
                <w:color w:val="auto"/>
              </w:rPr>
            </w:pPr>
          </w:p>
        </w:tc>
        <w:tc>
          <w:tcPr>
            <w:tcW w:w="158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972</w:t>
            </w:r>
          </w:p>
        </w:tc>
        <w:tc>
          <w:tcPr>
            <w:tcW w:w="440" w:type="dxa"/>
            <w:vAlign w:val="bottom"/>
            <w:tcBorders>
              <w:bottom w:val="single" w:sz="8" w:color="E5FF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80" w:type="dxa"/>
            <w:vAlign w:val="bottom"/>
            <w:tcBorders>
              <w:bottom w:val="single" w:sz="8" w:color="E5FFFF"/>
            </w:tcBorders>
            <w:shd w:val="clear" w:color="auto" w:fill="E5FFFF"/>
          </w:tcPr>
          <w:p>
            <w:pPr>
              <w:ind w:left="180"/>
              <w:spacing w:after="0" w:line="190" w:lineRule="exact"/>
              <w:rPr>
                <w:sz w:val="20"/>
                <w:szCs w:val="20"/>
                <w:color w:val="auto"/>
              </w:rPr>
            </w:pPr>
            <w:r>
              <w:rPr>
                <w:rFonts w:ascii="Arial" w:cs="Arial" w:eastAsia="Arial" w:hAnsi="Arial"/>
                <w:sz w:val="18"/>
                <w:szCs w:val="18"/>
                <w:color w:val="auto"/>
              </w:rPr>
              <w:t>Non cash financing activities – Stock awards issued</w:t>
            </w:r>
          </w:p>
        </w:tc>
        <w:tc>
          <w:tcPr>
            <w:tcW w:w="158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100</w:t>
            </w:r>
          </w:p>
        </w:tc>
        <w:tc>
          <w:tcPr>
            <w:tcW w:w="4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240</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180"/>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15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E5FFFF"/>
            </w:tcBorders>
            <w:vMerge w:val="continue"/>
          </w:tcPr>
          <w:p>
            <w:pPr>
              <w:spacing w:after="0"/>
              <w:rPr>
                <w:sz w:val="20"/>
                <w:szCs w:val="20"/>
                <w:color w:val="auto"/>
              </w:rPr>
            </w:pPr>
          </w:p>
        </w:tc>
        <w:tc>
          <w:tcPr>
            <w:tcW w:w="158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3,267</w:t>
            </w:r>
          </w:p>
        </w:tc>
        <w:tc>
          <w:tcPr>
            <w:tcW w:w="440" w:type="dxa"/>
            <w:vAlign w:val="bottom"/>
            <w:tcBorders>
              <w:bottom w:val="single" w:sz="8" w:color="E5FF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1,863</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980" w:type="dxa"/>
            <w:vAlign w:val="bottom"/>
            <w:tcBorders>
              <w:bottom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Reconciliation of total cash, cash equivalents and restricted cash:</w:t>
            </w:r>
          </w:p>
        </w:tc>
        <w:tc>
          <w:tcPr>
            <w:tcW w:w="158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E5FFFF"/>
            </w:tcBorders>
            <w:shd w:val="clear" w:color="auto" w:fill="E5FFFF"/>
          </w:tcPr>
          <w:p>
            <w:pPr>
              <w:spacing w:after="0"/>
              <w:rPr>
                <w:sz w:val="18"/>
                <w:szCs w:val="18"/>
                <w:color w:val="auto"/>
              </w:rPr>
            </w:pPr>
          </w:p>
        </w:tc>
        <w:tc>
          <w:tcPr>
            <w:tcW w:w="760" w:type="dxa"/>
            <w:vAlign w:val="bottom"/>
            <w:tcBorders>
              <w:bottom w:val="single" w:sz="8" w:color="E5FFFF"/>
            </w:tcBorders>
            <w:shd w:val="clear" w:color="auto" w:fill="E5FFFF"/>
          </w:tcPr>
          <w:p>
            <w:pPr>
              <w:spacing w:after="0"/>
              <w:rPr>
                <w:sz w:val="18"/>
                <w:szCs w:val="18"/>
                <w:color w:val="auto"/>
              </w:rPr>
            </w:pPr>
          </w:p>
        </w:tc>
        <w:tc>
          <w:tcPr>
            <w:tcW w:w="440" w:type="dxa"/>
            <w:vAlign w:val="bottom"/>
            <w:tcBorders>
              <w:bottom w:val="single" w:sz="8" w:color="E5FFFF"/>
            </w:tcBorders>
            <w:shd w:val="clear" w:color="auto" w:fill="E5FFFF"/>
          </w:tcPr>
          <w:p>
            <w:pPr>
              <w:spacing w:after="0"/>
              <w:rPr>
                <w:sz w:val="18"/>
                <w:szCs w:val="18"/>
                <w:color w:val="auto"/>
              </w:rPr>
            </w:pPr>
          </w:p>
        </w:tc>
        <w:tc>
          <w:tcPr>
            <w:tcW w:w="320" w:type="dxa"/>
            <w:vAlign w:val="bottom"/>
            <w:tcBorders>
              <w:bottom w:val="single" w:sz="8" w:color="E5FFFF"/>
            </w:tcBorders>
            <w:shd w:val="clear" w:color="auto" w:fill="E5FFFF"/>
          </w:tcPr>
          <w:p>
            <w:pPr>
              <w:spacing w:after="0"/>
              <w:rPr>
                <w:sz w:val="18"/>
                <w:szCs w:val="18"/>
                <w:color w:val="auto"/>
              </w:rPr>
            </w:pPr>
          </w:p>
        </w:tc>
        <w:tc>
          <w:tcPr>
            <w:tcW w:w="800" w:type="dxa"/>
            <w:vAlign w:val="bottom"/>
            <w:tcBorders>
              <w:bottom w:val="single" w:sz="8" w:color="E5FFFF"/>
            </w:tcBorders>
            <w:shd w:val="clear" w:color="auto" w:fill="E5FFFF"/>
          </w:tcPr>
          <w:p>
            <w:pPr>
              <w:spacing w:after="0"/>
              <w:rPr>
                <w:sz w:val="18"/>
                <w:szCs w:val="18"/>
                <w:color w:val="auto"/>
              </w:rPr>
            </w:pPr>
          </w:p>
        </w:tc>
        <w:tc>
          <w:tcPr>
            <w:tcW w:w="20" w:type="dxa"/>
            <w:vAlign w:val="bottom"/>
            <w:tcBorders>
              <w:bottom w:val="single" w:sz="8" w:color="E5FFFF"/>
            </w:tcBorders>
            <w:shd w:val="clear" w:color="auto" w:fill="E5FFFF"/>
          </w:tcPr>
          <w:p>
            <w:pPr>
              <w:spacing w:after="0"/>
              <w:rPr>
                <w:sz w:val="18"/>
                <w:szCs w:val="18"/>
                <w:color w:val="auto"/>
              </w:rPr>
            </w:pPr>
          </w:p>
        </w:tc>
        <w:tc>
          <w:tcPr>
            <w:tcW w:w="8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197,395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173,075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15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1,737</w:t>
            </w:r>
          </w:p>
        </w:tc>
        <w:tc>
          <w:tcPr>
            <w:tcW w:w="320" w:type="dxa"/>
            <w:vAlign w:val="bottom"/>
            <w:shd w:val="clear" w:color="auto" w:fill="E5FFFF"/>
          </w:tcPr>
          <w:p>
            <w:pPr>
              <w:spacing w:after="0"/>
              <w:rPr>
                <w:sz w:val="19"/>
                <w:szCs w:val="19"/>
                <w:color w:val="auto"/>
              </w:rPr>
            </w:pPr>
          </w:p>
        </w:tc>
        <w:tc>
          <w:tcPr>
            <w:tcW w:w="9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698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199,132</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 w:name="page9"/>
    <w:bookmarkEnd w:id="8"/>
    <w:p>
      <w:pPr>
        <w:ind w:left="21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139"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October 31,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2021 included in these financial statements has been derived from the audited consolidated financial statements included in the Company’s Annual Report on Form 10-K for the year ended January 31, 2021 (fiscal year 2020). It is suggested that these unaudited consolidated condensed financial statements be read in conjunction with the consolidated financial statements and the notes thereto included in the Company’s Annual Report on Form 10-K for the year ended January 31, 2021. The results of operations for the interim periods are not necessarily indicative of the results to be expected for the year.</w:t>
      </w:r>
    </w:p>
    <w:p>
      <w:pPr>
        <w:spacing w:after="0" w:line="200" w:lineRule="exact"/>
        <w:rPr>
          <w:sz w:val="20"/>
          <w:szCs w:val="20"/>
          <w:color w:val="auto"/>
        </w:rPr>
      </w:pPr>
    </w:p>
    <w:p>
      <w:pPr>
        <w:spacing w:after="0" w:line="235"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 On November 18, 2021, the Company ceased operation of its refined coal business as tax credits could no longer be earned on its operations. Beginning in the third quarter of fiscal year 2021, the results of the operation of the refined coal business were recognized in discontinued operations. Prior period amounts have been reclassified to conform with discontinued operations reporting.</w:t>
      </w:r>
    </w:p>
    <w:p>
      <w:pPr>
        <w:spacing w:after="0" w:line="207"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Nature of Operations – Beginning in the third quarter of fiscal year 2021, the Company now has one reportable segment, ethanol and by-products. Within the ethanol and by-products segment, the Company has equity investments in three ethanol limited liability companies, two of which are majority ownership interests. Prior period amounts have been reclassified to conform to the current segment reporting.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interim consolidated condensed financial statements have been prepared in accordance with the accounting policies described in the notes to the consolidated financial statements included in the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9" w:name="page10"/>
    <w:bookmarkEnd w:id="9"/>
    <w:p>
      <w:pPr>
        <w:spacing w:after="0" w:line="249" w:lineRule="auto"/>
        <w:rPr>
          <w:sz w:val="20"/>
          <w:szCs w:val="20"/>
          <w:color w:val="auto"/>
        </w:rPr>
      </w:pPr>
      <w:r>
        <w:rPr>
          <w:rFonts w:ascii="Arial" w:cs="Arial" w:eastAsia="Arial" w:hAnsi="Arial"/>
          <w:sz w:val="21"/>
          <w:szCs w:val="21"/>
          <w:color w:val="auto"/>
        </w:rPr>
        <w:t>Company’s fiscal year 2020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right="100" w:firstLine="648"/>
        <w:spacing w:after="0" w:line="257" w:lineRule="auto"/>
        <w:rPr>
          <w:sz w:val="20"/>
          <w:szCs w:val="20"/>
          <w:color w:val="auto"/>
        </w:rPr>
      </w:pPr>
      <w:r>
        <w:rPr>
          <w:rFonts w:ascii="Arial" w:cs="Arial" w:eastAsia="Arial" w:hAnsi="Arial"/>
          <w:sz w:val="21"/>
          <w:szCs w:val="21"/>
          <w:color w:val="auto"/>
        </w:rPr>
        <w:t>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jc w:val="both"/>
        <w:ind w:right="50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management, certain compensation costs and general facility overhead charges.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The Company includes non-production related costs such as professional fees, outbound freight charges, selling charges and certain payroll in SG&amp;A expenses. Outbound freight charges were approximately $210,000 and $916,000 in the third quarter of fiscal years 2021 and 2020, respectively and approximately $7,366,000 and $3,078,000 in the first nine months of fiscal years 2021 and 2020,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74"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10" w:name="page11"/>
    <w:bookmarkEnd w:id="10"/>
    <w:p>
      <w:pPr>
        <w:spacing w:after="0" w:line="236" w:lineRule="auto"/>
        <w:rPr>
          <w:sz w:val="20"/>
          <w:szCs w:val="20"/>
          <w:color w:val="auto"/>
        </w:rPr>
      </w:pPr>
      <w:r>
        <w:rPr>
          <w:rFonts w:ascii="Arial" w:cs="Arial" w:eastAsia="Arial" w:hAnsi="Arial"/>
          <w:sz w:val="22"/>
          <w:szCs w:val="22"/>
          <w:color w:val="auto"/>
        </w:rPr>
        <w:t>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Prior to the third quarter of fiscal year 2021, the Company determined that small changes in estimated “ordinary” income could result in significant changes in the estimated annual effective tax rate. Thus, the Company used a discrete effective tax rate method to calculate the provision or benefit for income taxes for the three and nine months ended October 31, 2020. Beginning on November 18, 2021, we are unable to earn additional tax credits related to the refined coal facility, and as such, have ceased operation of that facility. As earning these credits is what had caused the significant changes in the estimated annual effective tax rate from small changes in estimated “ordinary” income and we have now classified the refined coal segment as discontinued operations, we have returned to using the annual effective tax rate method to calculate the provision or benefit for income taxes from continuing operations beginning in the three and nine month periods ended October 31, 2021.</w:t>
      </w:r>
    </w:p>
    <w:p>
      <w:pPr>
        <w:spacing w:after="0" w:line="184"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$2.8 million and received no refunds of income taxes during the nine months ended October 31, 2021. The Company paid income taxes of approximately $0.5 million and received refunds of income taxes of approximately $0.7 million during the nine months ended October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of October 31, 2021, and January 31, 2021, total unrecognized tax benefits were approximately $8,793,000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$8,380,000, respectively. Accrued penalties and interest were approximately $35,000 and approximately $20,000 at October 31,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2021 and January 31, 2021, respectively. If the Company were to prevail on all unrecognized tax benefits recorded, the provision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 income taxes would be reduced by approximately $8.8 million. In addition, the impact of penalties and interest would also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benefit the effective tax rate. Interest and penalties associated with unrecognized tax benefits are recorded within income tax</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expense. On a quarterly basis, the Company accrues for the effects of open uncertain tax positions and the related potential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penalties and interest.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recorded approximately $0.1 million and approximately $1.0 million of inventory write-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 w:name="page12"/>
    <w:bookmarkEnd w:id="11"/>
    <w:p>
      <w:pPr>
        <w:ind w:right="280"/>
        <w:spacing w:after="0" w:line="257" w:lineRule="auto"/>
        <w:rPr>
          <w:sz w:val="20"/>
          <w:szCs w:val="20"/>
          <w:color w:val="auto"/>
        </w:rPr>
      </w:pPr>
      <w:r>
        <w:rPr>
          <w:rFonts w:ascii="Arial" w:cs="Arial" w:eastAsia="Arial" w:hAnsi="Arial"/>
          <w:sz w:val="21"/>
          <w:szCs w:val="21"/>
          <w:color w:val="auto"/>
        </w:rPr>
        <w:t>downs in cost of sales at October 31, 2021 and January 31, 2021, respectively. Fluctuations in the write-down of inventory generally relate to the levels and composition of such inventory and changes in commodity prices at a given point in time. The components of inventory are as follows as of the dates presented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80" w:type="dxa"/>
            <w:vAlign w:val="bottom"/>
          </w:tcPr>
          <w:p>
            <w:pPr>
              <w:spacing w:after="0"/>
              <w:rPr>
                <w:sz w:val="21"/>
                <w:szCs w:val="21"/>
                <w:color w:val="auto"/>
              </w:rPr>
            </w:pPr>
          </w:p>
        </w:tc>
        <w:tc>
          <w:tcPr>
            <w:tcW w:w="2800" w:type="dxa"/>
            <w:vAlign w:val="bottom"/>
            <w:gridSpan w:val="5"/>
          </w:tcPr>
          <w:p>
            <w:pPr>
              <w:jc w:val="right"/>
              <w:ind w:right="20"/>
              <w:spacing w:after="0"/>
              <w:rPr>
                <w:sz w:val="20"/>
                <w:szCs w:val="20"/>
                <w:color w:val="auto"/>
              </w:rPr>
            </w:pPr>
            <w:r>
              <w:rPr>
                <w:rFonts w:ascii="Arial" w:cs="Arial" w:eastAsia="Arial" w:hAnsi="Arial"/>
                <w:sz w:val="22"/>
                <w:szCs w:val="22"/>
                <w:b w:val="1"/>
                <w:bCs w:val="1"/>
                <w:color w:val="auto"/>
              </w:rPr>
              <w:t>October 31,</w:t>
            </w:r>
          </w:p>
        </w:tc>
        <w:tc>
          <w:tcPr>
            <w:tcW w:w="1500" w:type="dxa"/>
            <w:vAlign w:val="bottom"/>
            <w:gridSpan w:val="6"/>
          </w:tcPr>
          <w:p>
            <w:pPr>
              <w:ind w:left="340"/>
              <w:spacing w:after="0"/>
              <w:rPr>
                <w:sz w:val="20"/>
                <w:szCs w:val="20"/>
                <w:color w:val="auto"/>
              </w:rPr>
            </w:pPr>
            <w:r>
              <w:rPr>
                <w:rFonts w:ascii="Arial" w:cs="Arial" w:eastAsia="Arial" w:hAnsi="Arial"/>
                <w:sz w:val="22"/>
                <w:szCs w:val="22"/>
                <w:b w:val="1"/>
                <w:bCs w:val="1"/>
                <w:color w:val="auto"/>
                <w:w w:val="94"/>
              </w:rPr>
              <w:t>January 31,</w:t>
            </w:r>
          </w:p>
        </w:tc>
      </w:tr>
      <w:tr>
        <w:trPr>
          <w:trHeight w:val="230"/>
        </w:trPr>
        <w:tc>
          <w:tcPr>
            <w:tcW w:w="4680" w:type="dxa"/>
            <w:vAlign w:val="bottom"/>
          </w:tcPr>
          <w:p>
            <w:pPr>
              <w:spacing w:after="0"/>
              <w:rPr>
                <w:sz w:val="19"/>
                <w:szCs w:val="19"/>
                <w:color w:val="auto"/>
              </w:rPr>
            </w:pPr>
          </w:p>
        </w:tc>
        <w:tc>
          <w:tcPr>
            <w:tcW w:w="2800" w:type="dxa"/>
            <w:vAlign w:val="bottom"/>
            <w:gridSpan w:val="5"/>
          </w:tcPr>
          <w:p>
            <w:pPr>
              <w:jc w:val="right"/>
              <w:ind w:right="340"/>
              <w:spacing w:after="0" w:line="230" w:lineRule="exact"/>
              <w:rPr>
                <w:sz w:val="20"/>
                <w:szCs w:val="20"/>
                <w:color w:val="auto"/>
              </w:rPr>
            </w:pPr>
            <w:r>
              <w:rPr>
                <w:rFonts w:ascii="Arial" w:cs="Arial" w:eastAsia="Arial" w:hAnsi="Arial"/>
                <w:sz w:val="22"/>
                <w:szCs w:val="22"/>
                <w:b w:val="1"/>
                <w:bCs w:val="1"/>
                <w:color w:val="auto"/>
              </w:rPr>
              <w:t>2021</w:t>
            </w:r>
          </w:p>
        </w:tc>
        <w:tc>
          <w:tcPr>
            <w:tcW w:w="1420" w:type="dxa"/>
            <w:vAlign w:val="bottom"/>
            <w:gridSpan w:val="5"/>
          </w:tcPr>
          <w:p>
            <w:pPr>
              <w:jc w:val="right"/>
              <w:ind w:right="320"/>
              <w:spacing w:after="0" w:line="230" w:lineRule="exact"/>
              <w:rPr>
                <w:sz w:val="20"/>
                <w:szCs w:val="20"/>
                <w:color w:val="auto"/>
              </w:rPr>
            </w:pPr>
            <w:r>
              <w:rPr>
                <w:rFonts w:ascii="Arial" w:cs="Arial" w:eastAsia="Arial" w:hAnsi="Arial"/>
                <w:sz w:val="22"/>
                <w:szCs w:val="22"/>
                <w:b w:val="1"/>
                <w:bCs w:val="1"/>
                <w:color w:val="auto"/>
              </w:rPr>
              <w:t>2021</w:t>
            </w:r>
          </w:p>
        </w:tc>
        <w:tc>
          <w:tcPr>
            <w:tcW w:w="80" w:type="dxa"/>
            <w:vAlign w:val="bottom"/>
          </w:tcPr>
          <w:p>
            <w:pPr>
              <w:spacing w:after="0"/>
              <w:rPr>
                <w:sz w:val="19"/>
                <w:szCs w:val="19"/>
                <w:color w:val="auto"/>
              </w:rPr>
            </w:pPr>
          </w:p>
        </w:tc>
      </w:tr>
      <w:tr>
        <w:trPr>
          <w:trHeight w:val="264"/>
        </w:trPr>
        <w:tc>
          <w:tcPr>
            <w:tcW w:w="46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468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Ethanol and other finished goods</w:t>
            </w:r>
          </w:p>
        </w:tc>
        <w:tc>
          <w:tcPr>
            <w:tcW w:w="22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7,135</w:t>
            </w:r>
          </w:p>
        </w:tc>
        <w:tc>
          <w:tcPr>
            <w:tcW w:w="1420" w:type="dxa"/>
            <w:vAlign w:val="bottom"/>
            <w:gridSpan w:val="5"/>
            <w:shd w:val="clear" w:color="auto" w:fill="E5FFFF"/>
          </w:tcPr>
          <w:p>
            <w:pPr>
              <w:jc w:val="right"/>
              <w:spacing w:after="0" w:line="243" w:lineRule="exact"/>
              <w:rPr>
                <w:sz w:val="20"/>
                <w:szCs w:val="20"/>
                <w:color w:val="auto"/>
              </w:rPr>
            </w:pPr>
            <w:r>
              <w:rPr>
                <w:rFonts w:ascii="Arial" w:cs="Arial" w:eastAsia="Arial" w:hAnsi="Arial"/>
                <w:sz w:val="22"/>
                <w:szCs w:val="22"/>
                <w:color w:val="auto"/>
              </w:rPr>
              <w:t>$18,346</w:t>
            </w:r>
          </w:p>
        </w:tc>
        <w:tc>
          <w:tcPr>
            <w:tcW w:w="80" w:type="dxa"/>
            <w:vAlign w:val="bottom"/>
            <w:shd w:val="clear" w:color="auto" w:fill="E5FFFF"/>
          </w:tcPr>
          <w:p>
            <w:pPr>
              <w:spacing w:after="0"/>
              <w:rPr>
                <w:sz w:val="21"/>
                <w:szCs w:val="21"/>
                <w:color w:val="auto"/>
              </w:rPr>
            </w:pPr>
          </w:p>
        </w:tc>
      </w:tr>
      <w:tr>
        <w:trPr>
          <w:trHeight w:val="243"/>
        </w:trPr>
        <w:tc>
          <w:tcPr>
            <w:tcW w:w="4680" w:type="dxa"/>
            <w:vAlign w:val="bottom"/>
          </w:tcPr>
          <w:p>
            <w:pPr>
              <w:ind w:left="120"/>
              <w:spacing w:after="0" w:line="243" w:lineRule="exact"/>
              <w:rPr>
                <w:sz w:val="20"/>
                <w:szCs w:val="20"/>
                <w:color w:val="auto"/>
              </w:rPr>
            </w:pPr>
            <w:r>
              <w:rPr>
                <w:rFonts w:ascii="Arial" w:cs="Arial" w:eastAsia="Arial" w:hAnsi="Arial"/>
                <w:sz w:val="22"/>
                <w:szCs w:val="22"/>
                <w:color w:val="auto"/>
              </w:rPr>
              <w:t>Work in process</w:t>
            </w: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5,097</w:t>
            </w:r>
          </w:p>
        </w:tc>
        <w:tc>
          <w:tcPr>
            <w:tcW w:w="1420" w:type="dxa"/>
            <w:vAlign w:val="bottom"/>
            <w:gridSpan w:val="5"/>
          </w:tcPr>
          <w:p>
            <w:pPr>
              <w:jc w:val="right"/>
              <w:spacing w:after="0" w:line="243" w:lineRule="exact"/>
              <w:rPr>
                <w:sz w:val="20"/>
                <w:szCs w:val="20"/>
                <w:color w:val="auto"/>
              </w:rPr>
            </w:pPr>
            <w:r>
              <w:rPr>
                <w:rFonts w:ascii="Arial" w:cs="Arial" w:eastAsia="Arial" w:hAnsi="Arial"/>
                <w:sz w:val="22"/>
                <w:szCs w:val="22"/>
                <w:color w:val="auto"/>
              </w:rPr>
              <w:t>4,374</w:t>
            </w:r>
          </w:p>
        </w:tc>
        <w:tc>
          <w:tcPr>
            <w:tcW w:w="80" w:type="dxa"/>
            <w:vAlign w:val="bottom"/>
          </w:tcPr>
          <w:p>
            <w:pPr>
              <w:spacing w:after="0"/>
              <w:rPr>
                <w:sz w:val="21"/>
                <w:szCs w:val="21"/>
                <w:color w:val="auto"/>
              </w:rPr>
            </w:pPr>
          </w:p>
        </w:tc>
      </w:tr>
      <w:tr>
        <w:trPr>
          <w:trHeight w:val="243"/>
        </w:trPr>
        <w:tc>
          <w:tcPr>
            <w:tcW w:w="468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Grain and other raw materials</w:t>
            </w:r>
          </w:p>
        </w:tc>
        <w:tc>
          <w:tcPr>
            <w:tcW w:w="20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6"/>
              </w:rPr>
              <w:t>17,521</w:t>
            </w:r>
          </w:p>
        </w:tc>
        <w:tc>
          <w:tcPr>
            <w:tcW w:w="1420" w:type="dxa"/>
            <w:vAlign w:val="bottom"/>
            <w:gridSpan w:val="5"/>
            <w:shd w:val="clear" w:color="auto" w:fill="E5FFFF"/>
          </w:tcPr>
          <w:p>
            <w:pPr>
              <w:jc w:val="right"/>
              <w:spacing w:after="0" w:line="243" w:lineRule="exact"/>
              <w:rPr>
                <w:sz w:val="20"/>
                <w:szCs w:val="20"/>
                <w:color w:val="auto"/>
              </w:rPr>
            </w:pPr>
            <w:r>
              <w:rPr>
                <w:rFonts w:ascii="Arial" w:cs="Arial" w:eastAsia="Arial" w:hAnsi="Arial"/>
                <w:sz w:val="22"/>
                <w:szCs w:val="22"/>
                <w:color w:val="auto"/>
              </w:rPr>
              <w:t>14,706</w:t>
            </w:r>
          </w:p>
        </w:tc>
        <w:tc>
          <w:tcPr>
            <w:tcW w:w="80" w:type="dxa"/>
            <w:vAlign w:val="bottom"/>
            <w:shd w:val="clear" w:color="auto" w:fill="E5FFFF"/>
          </w:tcPr>
          <w:p>
            <w:pPr>
              <w:spacing w:after="0"/>
              <w:rPr>
                <w:sz w:val="21"/>
                <w:szCs w:val="21"/>
                <w:color w:val="auto"/>
              </w:rPr>
            </w:pPr>
          </w:p>
        </w:tc>
      </w:tr>
      <w:tr>
        <w:trPr>
          <w:trHeight w:val="250"/>
        </w:trPr>
        <w:tc>
          <w:tcPr>
            <w:tcW w:w="4680" w:type="dxa"/>
            <w:vAlign w:val="bottom"/>
          </w:tcPr>
          <w:p>
            <w:pPr>
              <w:ind w:left="120"/>
              <w:spacing w:after="0" w:line="250" w:lineRule="exact"/>
              <w:rPr>
                <w:sz w:val="20"/>
                <w:szCs w:val="20"/>
                <w:color w:val="auto"/>
              </w:rPr>
            </w:pPr>
            <w:r>
              <w:rPr>
                <w:rFonts w:ascii="Arial" w:cs="Arial" w:eastAsia="Arial" w:hAnsi="Arial"/>
                <w:sz w:val="22"/>
                <w:szCs w:val="22"/>
                <w:color w:val="auto"/>
              </w:rPr>
              <w:t>Total</w:t>
            </w: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9"/>
                <w:szCs w:val="19"/>
                <w:u w:val="single" w:color="auto"/>
                <w:color w:val="auto"/>
                <w:w w:val="75"/>
              </w:rPr>
              <w:t>$</w:t>
            </w:r>
          </w:p>
        </w:tc>
        <w:tc>
          <w:tcPr>
            <w:tcW w:w="60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86"/>
              </w:rPr>
              <w:t>29,753</w:t>
            </w:r>
          </w:p>
        </w:tc>
        <w:tc>
          <w:tcPr>
            <w:tcW w:w="66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68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22"/>
                <w:szCs w:val="22"/>
                <w:u w:val="single" w:color="auto"/>
                <w:color w:val="auto"/>
                <w:w w:val="82"/>
              </w:rPr>
              <w:t>$</w:t>
            </w:r>
            <w:r>
              <w:rPr>
                <w:rFonts w:ascii="Arial" w:cs="Arial" w:eastAsia="Arial" w:hAnsi="Arial"/>
                <w:sz w:val="22"/>
                <w:szCs w:val="22"/>
                <w:color w:val="auto"/>
                <w:w w:val="82"/>
              </w:rPr>
              <w:t>37,426</w:t>
            </w:r>
          </w:p>
        </w:tc>
        <w:tc>
          <w:tcPr>
            <w:tcW w:w="80" w:type="dxa"/>
            <w:vAlign w:val="bottom"/>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In accordance with ASC 360-10 “</w:t>
      </w:r>
      <w:r>
        <w:rPr>
          <w:rFonts w:ascii="Arial" w:cs="Arial" w:eastAsia="Arial" w:hAnsi="Arial"/>
          <w:sz w:val="21"/>
          <w:szCs w:val="21"/>
          <w:i w:val="1"/>
          <w:iCs w:val="1"/>
          <w:color w:val="auto"/>
        </w:rPr>
        <w:t>Impairment or Disposal of Long-Lived Assets</w:t>
      </w:r>
      <w:r>
        <w:rPr>
          <w:rFonts w:ascii="Arial" w:cs="Arial" w:eastAsia="Arial" w:hAnsi="Arial"/>
          <w:sz w:val="21"/>
          <w:szCs w:val="21"/>
          <w:color w:val="auto"/>
        </w:rPr>
        <w:t>”, the carrying value of long-lived assets is assessed for recoverability by management when changes in circumstances indicate that the carrying amount may not be recoverable. The Company did not identify any indicators of impairment during the first nine months of fiscal year 2021, thus there were no impairment charges in the first nine months of fiscal year 2021. During fiscal year 2020, the Company concluded that the impact of the coronavirus (“COVID-19”) pandemic on the ethanol industry and the Company’s operating results was an indicator that impairment may exist related to certain of its long-lived assets. As a result, the Company performed a recoverability test and determined that there was no impairment for fiscal year 2020.</w:t>
      </w:r>
    </w:p>
    <w:p>
      <w:pPr>
        <w:spacing w:after="0" w:line="21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80" w:firstLine="648"/>
        <w:spacing w:after="0" w:line="245" w:lineRule="auto"/>
        <w:rPr>
          <w:sz w:val="20"/>
          <w:szCs w:val="20"/>
          <w:color w:val="auto"/>
        </w:rPr>
      </w:pPr>
      <w:r>
        <w:rPr>
          <w:rFonts w:ascii="Arial" w:cs="Arial" w:eastAsia="Arial" w:hAnsi="Arial"/>
          <w:sz w:val="21"/>
          <w:szCs w:val="21"/>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21"/>
          <w:szCs w:val="21"/>
          <w:i w:val="1"/>
          <w:iCs w:val="1"/>
          <w:color w:val="auto"/>
        </w:rPr>
        <w:t>Investments-Equity Method and Joint Ventures</w:t>
      </w:r>
      <w:r>
        <w:rPr>
          <w:rFonts w:ascii="Arial" w:cs="Arial" w:eastAsia="Arial" w:hAnsi="Arial"/>
          <w:sz w:val="21"/>
          <w:szCs w:val="21"/>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2" w:name="page13"/>
    <w:bookmarkEnd w:id="12"/>
    <w:p>
      <w:pPr>
        <w:ind w:right="80"/>
        <w:spacing w:after="0" w:line="250" w:lineRule="auto"/>
        <w:rPr>
          <w:sz w:val="20"/>
          <w:szCs w:val="20"/>
          <w:color w:val="auto"/>
        </w:rPr>
      </w:pPr>
      <w:r>
        <w:rPr>
          <w:rFonts w:ascii="Arial" w:cs="Arial" w:eastAsia="Arial" w:hAnsi="Arial"/>
          <w:sz w:val="22"/>
          <w:szCs w:val="22"/>
          <w:color w:val="auto"/>
        </w:rPr>
        <w:t>Resources, LLC (“Big River”) using the equity method of accounting and includes the results on a delayed basis of one month as Big River has a fiscal year end of December 31.</w:t>
      </w:r>
    </w:p>
    <w:p>
      <w:pPr>
        <w:spacing w:after="0" w:line="202" w:lineRule="exact"/>
        <w:rPr>
          <w:sz w:val="20"/>
          <w:szCs w:val="20"/>
          <w:color w:val="auto"/>
        </w:rPr>
      </w:pPr>
    </w:p>
    <w:p>
      <w:pPr>
        <w:ind w:right="8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Short-term investments are considered held to maturity, and therefore are carried at amortized historical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Operations</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On November 18, 2021, the Company ceased operation of its refined coal business as tax credits could no longer be earned on its operation. Beginning in the third quarter of fiscal year 2021, the results of the operations of the refined coal business will be recognized in discontinued operations. Prior period amounts have been reclassified to conform with discontinued operations reporting.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39"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In December 2019, the Financial Accounting Standards Board (“FASB”) issued Accounting Standards Update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simplifies the accounting for income taxes by removing certain exceptions to the general principles in Topic 740. The Company adopted this update effective February 1, 2021. The adoption of this update did not impact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22"/>
          <w:szCs w:val="22"/>
          <w:color w:val="auto"/>
        </w:rPr>
        <w:t>The following tables shows disaggregated revenue by product: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9"/>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jc w:val="right"/>
              <w:ind w:right="40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Arial" w:cs="Arial" w:eastAsia="Arial" w:hAnsi="Arial"/>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400"/>
              <w:spacing w:after="0" w:line="243" w:lineRule="exact"/>
              <w:rPr>
                <w:sz w:val="20"/>
                <w:szCs w:val="20"/>
                <w:color w:val="auto"/>
              </w:rPr>
            </w:pPr>
            <w:r>
              <w:rPr>
                <w:rFonts w:ascii="Arial" w:cs="Arial" w:eastAsia="Arial" w:hAnsi="Arial"/>
                <w:sz w:val="22"/>
                <w:szCs w:val="22"/>
                <w:b w:val="1"/>
                <w:bCs w:val="1"/>
                <w:color w:val="auto"/>
              </w:rPr>
              <w:t>October 31,</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ind w:left="100"/>
              <w:spacing w:after="0" w:line="230" w:lineRule="exact"/>
              <w:rPr>
                <w:sz w:val="20"/>
                <w:szCs w:val="20"/>
                <w:color w:val="auto"/>
              </w:rPr>
            </w:pPr>
            <w:r>
              <w:rPr>
                <w:rFonts w:ascii="Arial" w:cs="Arial" w:eastAsia="Arial" w:hAnsi="Arial"/>
                <w:sz w:val="22"/>
                <w:szCs w:val="22"/>
                <w:b w:val="1"/>
                <w:bCs w:val="1"/>
                <w:color w:val="auto"/>
                <w:w w:val="85"/>
              </w:rPr>
              <w:t>2021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Sales of products, continuing operations Ethanol</w:t>
            </w:r>
          </w:p>
        </w:tc>
        <w:tc>
          <w:tcPr>
            <w:tcW w:w="9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161,598</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98,850</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w w:val="98"/>
              </w:rPr>
              <w:t>441,657</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191,971</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line="243" w:lineRule="exact"/>
              <w:rPr>
                <w:sz w:val="20"/>
                <w:szCs w:val="20"/>
                <w:color w:val="auto"/>
              </w:rPr>
            </w:pPr>
            <w:r>
              <w:rPr>
                <w:rFonts w:ascii="Arial" w:cs="Arial" w:eastAsia="Arial" w:hAnsi="Arial"/>
                <w:sz w:val="22"/>
                <w:szCs w:val="22"/>
                <w:color w:val="auto"/>
              </w:rPr>
              <w:t>Dried distillers grains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28,717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20,916</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91,408</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45,314</w:t>
            </w:r>
          </w:p>
        </w:tc>
        <w:tc>
          <w:tcPr>
            <w:tcW w:w="0" w:type="dxa"/>
            <w:vAlign w:val="bottom"/>
          </w:tcPr>
          <w:p>
            <w:pPr>
              <w:spacing w:after="0"/>
              <w:rPr>
                <w:sz w:val="1"/>
                <w:szCs w:val="1"/>
                <w:color w:val="auto"/>
              </w:rPr>
            </w:pPr>
          </w:p>
        </w:tc>
      </w:tr>
      <w:tr>
        <w:trPr>
          <w:trHeight w:val="243"/>
        </w:trPr>
        <w:tc>
          <w:tcPr>
            <w:tcW w:w="502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Non-food grade corn oil</w:t>
            </w:r>
          </w:p>
        </w:tc>
        <w:tc>
          <w:tcPr>
            <w:tcW w:w="7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11,958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4,661</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27,364</w:t>
            </w:r>
          </w:p>
        </w:tc>
        <w:tc>
          <w:tcPr>
            <w:tcW w:w="18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9,162</w:t>
            </w:r>
          </w:p>
        </w:tc>
        <w:tc>
          <w:tcPr>
            <w:tcW w:w="0" w:type="dxa"/>
            <w:vAlign w:val="bottom"/>
          </w:tcPr>
          <w:p>
            <w:pPr>
              <w:spacing w:after="0"/>
              <w:rPr>
                <w:sz w:val="1"/>
                <w:szCs w:val="1"/>
                <w:color w:val="auto"/>
              </w:rPr>
            </w:pPr>
          </w:p>
        </w:tc>
      </w:tr>
      <w:tr>
        <w:trPr>
          <w:trHeight w:val="243"/>
        </w:trPr>
        <w:tc>
          <w:tcPr>
            <w:tcW w:w="5020" w:type="dxa"/>
            <w:vAlign w:val="bottom"/>
          </w:tcPr>
          <w:p>
            <w:pPr>
              <w:ind w:left="100"/>
              <w:spacing w:after="0" w:line="243" w:lineRule="exact"/>
              <w:rPr>
                <w:sz w:val="20"/>
                <w:szCs w:val="20"/>
                <w:color w:val="auto"/>
              </w:rPr>
            </w:pPr>
            <w:r>
              <w:rPr>
                <w:rFonts w:ascii="Arial" w:cs="Arial" w:eastAsia="Arial" w:hAnsi="Arial"/>
                <w:sz w:val="22"/>
                <w:szCs w:val="22"/>
                <w:color w:val="auto"/>
              </w:rPr>
              <w:t>Modified distillers grains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2,930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562</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7,157</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1,228</w:t>
            </w:r>
          </w:p>
        </w:tc>
        <w:tc>
          <w:tcPr>
            <w:tcW w:w="0" w:type="dxa"/>
            <w:vAlign w:val="bottom"/>
          </w:tcPr>
          <w:p>
            <w:pPr>
              <w:spacing w:after="0"/>
              <w:rPr>
                <w:sz w:val="1"/>
                <w:szCs w:val="1"/>
                <w:color w:val="auto"/>
              </w:rPr>
            </w:pPr>
          </w:p>
        </w:tc>
      </w:tr>
      <w:tr>
        <w:trPr>
          <w:trHeight w:val="243"/>
        </w:trPr>
        <w:tc>
          <w:tcPr>
            <w:tcW w:w="502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Derivative financial instruments losses</w:t>
            </w:r>
          </w:p>
        </w:tc>
        <w:tc>
          <w:tcPr>
            <w:tcW w:w="7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(2,144)</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(777)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(4,907)</w:t>
            </w:r>
          </w:p>
        </w:tc>
        <w:tc>
          <w:tcPr>
            <w:tcW w:w="18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(1,075)</w:t>
            </w:r>
          </w:p>
        </w:tc>
        <w:tc>
          <w:tcPr>
            <w:tcW w:w="0" w:type="dxa"/>
            <w:vAlign w:val="bottom"/>
          </w:tcPr>
          <w:p>
            <w:pPr>
              <w:spacing w:after="0"/>
              <w:rPr>
                <w:sz w:val="1"/>
                <w:szCs w:val="1"/>
                <w:color w:val="auto"/>
              </w:rPr>
            </w:pPr>
          </w:p>
        </w:tc>
      </w:tr>
      <w:tr>
        <w:trPr>
          <w:trHeight w:val="256"/>
        </w:trPr>
        <w:tc>
          <w:tcPr>
            <w:tcW w:w="5020" w:type="dxa"/>
            <w:vAlign w:val="bottom"/>
          </w:tcPr>
          <w:p>
            <w:pPr>
              <w:ind w:left="100"/>
              <w:spacing w:after="0"/>
              <w:rPr>
                <w:sz w:val="20"/>
                <w:szCs w:val="20"/>
                <w:color w:val="auto"/>
              </w:rPr>
            </w:pPr>
            <w:r>
              <w:rPr>
                <w:rFonts w:ascii="Arial" w:cs="Arial" w:eastAsia="Arial" w:hAnsi="Arial"/>
                <w:sz w:val="22"/>
                <w:szCs w:val="22"/>
                <w:color w:val="auto"/>
              </w:rPr>
              <w:t>Other</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7</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107</w:t>
            </w:r>
          </w:p>
        </w:tc>
        <w:tc>
          <w:tcPr>
            <w:tcW w:w="180" w:type="dxa"/>
            <w:vAlign w:val="bottom"/>
          </w:tcPr>
          <w:p>
            <w:pPr>
              <w:spacing w:after="0"/>
              <w:rPr>
                <w:sz w:val="22"/>
                <w:szCs w:val="22"/>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37"/>
        </w:trPr>
        <w:tc>
          <w:tcPr>
            <w:tcW w:w="5020" w:type="dxa"/>
            <w:vAlign w:val="bottom"/>
            <w:tcBorders>
              <w:top w:val="single" w:sz="8" w:color="E5FFFF"/>
              <w:bottom w:val="single" w:sz="8" w:color="E5FFFF"/>
            </w:tcBorders>
            <w:shd w:val="clear" w:color="auto" w:fill="E5FFFF"/>
          </w:tcPr>
          <w:p>
            <w:pPr>
              <w:ind w:left="100"/>
              <w:spacing w:after="0" w:line="237" w:lineRule="exact"/>
              <w:rPr>
                <w:sz w:val="20"/>
                <w:szCs w:val="20"/>
                <w:color w:val="auto"/>
              </w:rPr>
            </w:pPr>
            <w:r>
              <w:rPr>
                <w:rFonts w:ascii="Arial" w:cs="Arial" w:eastAsia="Arial" w:hAnsi="Arial"/>
                <w:sz w:val="22"/>
                <w:szCs w:val="22"/>
                <w:color w:val="auto"/>
              </w:rPr>
              <w:t>Total</w:t>
            </w:r>
          </w:p>
        </w:tc>
        <w:tc>
          <w:tcPr>
            <w:tcW w:w="72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203,066</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124,217</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w w:val="98"/>
              </w:rPr>
              <w:t>562,786</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246,694</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100"/>
              <w:spacing w:after="0"/>
              <w:rPr>
                <w:sz w:val="20"/>
                <w:szCs w:val="20"/>
                <w:color w:val="auto"/>
              </w:rPr>
            </w:pPr>
            <w:r>
              <w:rPr>
                <w:rFonts w:ascii="Arial" w:cs="Arial" w:eastAsia="Arial" w:hAnsi="Arial"/>
                <w:sz w:val="22"/>
                <w:szCs w:val="22"/>
                <w:color w:val="auto"/>
              </w:rPr>
              <w:t>Sales of products, discontinued operations:</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shd w:val="clear" w:color="auto" w:fill="E5FFFF"/>
          </w:tcPr>
          <w:p>
            <w:pPr>
              <w:ind w:left="100"/>
              <w:spacing w:after="0" w:line="324" w:lineRule="exact"/>
              <w:rPr>
                <w:sz w:val="20"/>
                <w:szCs w:val="20"/>
                <w:color w:val="auto"/>
              </w:rPr>
            </w:pPr>
            <w:r>
              <w:rPr>
                <w:rFonts w:ascii="Arial" w:cs="Arial" w:eastAsia="Arial" w:hAnsi="Arial"/>
                <w:sz w:val="22"/>
                <w:szCs w:val="22"/>
                <w:color w:val="auto"/>
              </w:rPr>
              <w:t>Refined coal</w:t>
            </w:r>
            <w:r>
              <w:rPr>
                <w:rFonts w:ascii="Arial" w:cs="Arial" w:eastAsia="Arial" w:hAnsi="Arial"/>
                <w:sz w:val="35"/>
                <w:szCs w:val="35"/>
                <w:color w:val="auto"/>
                <w:vertAlign w:val="superscript"/>
              </w:rPr>
              <w:t>1</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151</w:t>
            </w:r>
          </w:p>
        </w:tc>
        <w:tc>
          <w:tcPr>
            <w:tcW w:w="660" w:type="dxa"/>
            <w:vAlign w:val="bottom"/>
            <w:gridSpan w:val="2"/>
            <w:shd w:val="clear" w:color="auto" w:fill="E5FFFF"/>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34</w:t>
            </w:r>
          </w:p>
        </w:tc>
        <w:tc>
          <w:tcPr>
            <w:tcW w:w="440" w:type="dxa"/>
            <w:vAlign w:val="bottom"/>
            <w:shd w:val="clear" w:color="auto" w:fill="E5FFFF"/>
          </w:tcPr>
          <w:p>
            <w:pPr>
              <w:spacing w:after="0"/>
              <w:rPr>
                <w:sz w:val="24"/>
                <w:szCs w:val="24"/>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rPr>
                <w:sz w:val="20"/>
                <w:szCs w:val="20"/>
                <w:color w:val="auto"/>
              </w:rPr>
            </w:pPr>
            <w:r>
              <w:rPr>
                <w:rFonts w:ascii="Arial" w:cs="Arial" w:eastAsia="Arial" w:hAnsi="Arial"/>
                <w:sz w:val="22"/>
                <w:szCs w:val="22"/>
                <w:color w:val="auto"/>
              </w:rPr>
              <w:t>377</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0"/>
        </w:trPr>
        <w:tc>
          <w:tcPr>
            <w:tcW w:w="502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40" w:firstLine="656"/>
        <w:spacing w:after="0" w:line="196" w:lineRule="auto"/>
        <w:tabs>
          <w:tab w:leader="none" w:pos="783" w:val="left"/>
        </w:tabs>
        <w:numPr>
          <w:ilvl w:val="0"/>
          <w:numId w:val="3"/>
        </w:numPr>
        <w:rPr>
          <w:rFonts w:ascii="Arial" w:cs="Arial" w:eastAsia="Arial" w:hAnsi="Arial"/>
          <w:sz w:val="34"/>
          <w:szCs w:val="34"/>
          <w:color w:val="auto"/>
          <w:vertAlign w:val="superscript"/>
        </w:rPr>
      </w:pPr>
      <w:r>
        <w:rPr>
          <w:rFonts w:ascii="Arial" w:cs="Arial" w:eastAsia="Arial" w:hAnsi="Arial"/>
          <w:sz w:val="21"/>
          <w:szCs w:val="21"/>
          <w:color w:val="auto"/>
        </w:rPr>
        <w:t>Refined coal sales were recorded net of the cost of coal as the Company purchased the coal feedstock from the customer to which the processed refined coal was sold.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At October 31, 2021,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Operating lease expense</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Variable lease expense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53"/>
        </w:trPr>
        <w:tc>
          <w:tcPr>
            <w:tcW w:w="2380" w:type="dxa"/>
            <w:vAlign w:val="bottom"/>
            <w:gridSpan w:val="9"/>
          </w:tcPr>
          <w:p>
            <w:pPr>
              <w:jc w:val="center"/>
              <w:ind w:right="420"/>
              <w:spacing w:after="0"/>
              <w:rPr>
                <w:sz w:val="20"/>
                <w:szCs w:val="20"/>
                <w:color w:val="auto"/>
              </w:rPr>
            </w:pPr>
            <w:r>
              <w:rPr>
                <w:rFonts w:ascii="Arial" w:cs="Arial" w:eastAsia="Arial" w:hAnsi="Arial"/>
                <w:sz w:val="22"/>
                <w:szCs w:val="22"/>
                <w:b w:val="1"/>
                <w:bCs w:val="1"/>
                <w:color w:val="auto"/>
                <w:w w:val="90"/>
              </w:rPr>
              <w:t>Three Months Ended</w:t>
            </w:r>
          </w:p>
        </w:tc>
        <w:tc>
          <w:tcPr>
            <w:tcW w:w="2180" w:type="dxa"/>
            <w:vAlign w:val="bottom"/>
            <w:gridSpan w:val="8"/>
          </w:tcPr>
          <w:p>
            <w:pPr>
              <w:jc w:val="right"/>
              <w:ind w:right="60"/>
              <w:spacing w:after="0"/>
              <w:rPr>
                <w:sz w:val="20"/>
                <w:szCs w:val="20"/>
                <w:color w:val="auto"/>
              </w:rPr>
            </w:pPr>
            <w:r>
              <w:rPr>
                <w:rFonts w:ascii="Arial" w:cs="Arial" w:eastAsia="Arial" w:hAnsi="Arial"/>
                <w:sz w:val="22"/>
                <w:szCs w:val="22"/>
                <w:b w:val="1"/>
                <w:bCs w:val="1"/>
                <w:color w:val="auto"/>
              </w:rPr>
              <w:t>Nine Months Ended</w:t>
            </w:r>
          </w:p>
        </w:tc>
      </w:tr>
      <w:tr>
        <w:trPr>
          <w:trHeight w:val="243"/>
        </w:trPr>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gridSpan w:val="7"/>
          </w:tcPr>
          <w:p>
            <w:pPr>
              <w:jc w:val="center"/>
              <w:ind w:right="700"/>
              <w:spacing w:after="0" w:line="243" w:lineRule="exact"/>
              <w:rPr>
                <w:sz w:val="20"/>
                <w:szCs w:val="20"/>
                <w:color w:val="auto"/>
              </w:rPr>
            </w:pPr>
            <w:r>
              <w:rPr>
                <w:rFonts w:ascii="Arial" w:cs="Arial" w:eastAsia="Arial" w:hAnsi="Arial"/>
                <w:sz w:val="22"/>
                <w:szCs w:val="22"/>
                <w:b w:val="1"/>
                <w:bCs w:val="1"/>
                <w:color w:val="auto"/>
                <w:w w:val="89"/>
              </w:rPr>
              <w:t>October 31,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6"/>
          </w:tcPr>
          <w:p>
            <w:pPr>
              <w:jc w:val="right"/>
              <w:ind w:right="440"/>
              <w:spacing w:after="0" w:line="243" w:lineRule="exact"/>
              <w:rPr>
                <w:sz w:val="20"/>
                <w:szCs w:val="20"/>
                <w:color w:val="auto"/>
              </w:rPr>
            </w:pPr>
            <w:r>
              <w:rPr>
                <w:rFonts w:ascii="Arial" w:cs="Arial" w:eastAsia="Arial" w:hAnsi="Arial"/>
                <w:sz w:val="22"/>
                <w:szCs w:val="22"/>
                <w:b w:val="1"/>
                <w:bCs w:val="1"/>
                <w:color w:val="auto"/>
              </w:rPr>
              <w:t>October 31,</w:t>
            </w:r>
          </w:p>
        </w:tc>
      </w:tr>
      <w:tr>
        <w:trPr>
          <w:trHeight w:val="230"/>
        </w:trPr>
        <w:tc>
          <w:tcPr>
            <w:tcW w:w="720" w:type="dxa"/>
            <w:vAlign w:val="bottom"/>
            <w:gridSpan w:val="3"/>
          </w:tcPr>
          <w:p>
            <w:pPr>
              <w:jc w:val="right"/>
              <w:spacing w:after="0" w:line="210" w:lineRule="exact"/>
              <w:rPr>
                <w:sz w:val="20"/>
                <w:szCs w:val="20"/>
                <w:color w:val="auto"/>
              </w:rPr>
            </w:pPr>
            <w:r>
              <w:rPr>
                <w:rFonts w:ascii="Arial" w:cs="Arial" w:eastAsia="Arial" w:hAnsi="Arial"/>
                <w:sz w:val="22"/>
                <w:szCs w:val="22"/>
                <w:b w:val="1"/>
                <w:bCs w:val="1"/>
                <w:color w:val="auto"/>
              </w:rPr>
              <w:t>2021</w:t>
            </w:r>
          </w:p>
        </w:tc>
        <w:tc>
          <w:tcPr>
            <w:tcW w:w="80" w:type="dxa"/>
            <w:vAlign w:val="bottom"/>
          </w:tcPr>
          <w:p>
            <w:pPr>
              <w:spacing w:after="0"/>
              <w:rPr>
                <w:sz w:val="19"/>
                <w:szCs w:val="19"/>
                <w:color w:val="auto"/>
              </w:rPr>
            </w:pPr>
          </w:p>
        </w:tc>
        <w:tc>
          <w:tcPr>
            <w:tcW w:w="1220" w:type="dxa"/>
            <w:vAlign w:val="bottom"/>
            <w:gridSpan w:val="3"/>
          </w:tcPr>
          <w:p>
            <w:pPr>
              <w:jc w:val="right"/>
              <w:spacing w:after="0" w:line="210" w:lineRule="exact"/>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4"/>
          </w:tcPr>
          <w:p>
            <w:pPr>
              <w:jc w:val="right"/>
              <w:ind w:right="100"/>
              <w:spacing w:after="0" w:line="210" w:lineRule="exact"/>
              <w:rPr>
                <w:sz w:val="20"/>
                <w:szCs w:val="20"/>
                <w:color w:val="auto"/>
              </w:rPr>
            </w:pPr>
            <w:r>
              <w:rPr>
                <w:rFonts w:ascii="Arial" w:cs="Arial" w:eastAsia="Arial" w:hAnsi="Arial"/>
                <w:sz w:val="22"/>
                <w:szCs w:val="22"/>
                <w:b w:val="1"/>
                <w:bCs w:val="1"/>
                <w:color w:val="auto"/>
              </w:rPr>
              <w:t>2021</w:t>
            </w:r>
          </w:p>
        </w:tc>
        <w:tc>
          <w:tcPr>
            <w:tcW w:w="640" w:type="dxa"/>
            <w:vAlign w:val="bottom"/>
          </w:tcPr>
          <w:p>
            <w:pPr>
              <w:spacing w:after="0"/>
              <w:rPr>
                <w:sz w:val="19"/>
                <w:szCs w:val="19"/>
                <w:color w:val="auto"/>
              </w:rPr>
            </w:pPr>
          </w:p>
        </w:tc>
        <w:tc>
          <w:tcPr>
            <w:tcW w:w="600" w:type="dxa"/>
            <w:vAlign w:val="bottom"/>
            <w:gridSpan w:val="3"/>
          </w:tcPr>
          <w:p>
            <w:pPr>
              <w:jc w:val="right"/>
              <w:ind w:right="80"/>
              <w:spacing w:after="0" w:line="210" w:lineRule="exact"/>
              <w:rPr>
                <w:sz w:val="20"/>
                <w:szCs w:val="20"/>
                <w:color w:val="auto"/>
              </w:rPr>
            </w:pPr>
            <w:r>
              <w:rPr>
                <w:rFonts w:ascii="Arial" w:cs="Arial" w:eastAsia="Arial" w:hAnsi="Arial"/>
                <w:sz w:val="22"/>
                <w:szCs w:val="22"/>
                <w:b w:val="1"/>
                <w:bCs w:val="1"/>
                <w:color w:val="auto"/>
              </w:rPr>
              <w:t>2020</w:t>
            </w:r>
          </w:p>
        </w:tc>
      </w:tr>
      <w:tr>
        <w:trPr>
          <w:trHeight w:val="27"/>
        </w:trPr>
        <w:tc>
          <w:tcPr>
            <w:tcW w:w="800" w:type="dxa"/>
            <w:vAlign w:val="bottom"/>
            <w:gridSpan w:val="4"/>
          </w:tcPr>
          <w:p>
            <w:pPr>
              <w:spacing w:after="0"/>
              <w:rPr>
                <w:sz w:val="2"/>
                <w:szCs w:val="2"/>
                <w:color w:val="auto"/>
              </w:rPr>
            </w:pPr>
          </w:p>
        </w:tc>
        <w:tc>
          <w:tcPr>
            <w:tcW w:w="1580" w:type="dxa"/>
            <w:vAlign w:val="bottom"/>
            <w:gridSpan w:val="5"/>
          </w:tcPr>
          <w:p>
            <w:pPr>
              <w:spacing w:after="0"/>
              <w:rPr>
                <w:sz w:val="2"/>
                <w:szCs w:val="2"/>
                <w:color w:val="auto"/>
              </w:rPr>
            </w:pPr>
          </w:p>
        </w:tc>
        <w:tc>
          <w:tcPr>
            <w:tcW w:w="420" w:type="dxa"/>
            <w:vAlign w:val="bottom"/>
            <w:gridSpan w:val="2"/>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519"/>
        </w:trPr>
        <w:tc>
          <w:tcPr>
            <w:tcW w:w="800" w:type="dxa"/>
            <w:vAlign w:val="bottom"/>
            <w:gridSpan w:val="4"/>
          </w:tcPr>
          <w:p>
            <w:pPr>
              <w:jc w:val="right"/>
              <w:spacing w:after="0"/>
              <w:rPr>
                <w:sz w:val="20"/>
                <w:szCs w:val="20"/>
                <w:color w:val="auto"/>
              </w:rPr>
            </w:pPr>
            <w:r>
              <w:rPr>
                <w:rFonts w:ascii="Arial" w:cs="Arial" w:eastAsia="Arial" w:hAnsi="Arial"/>
                <w:sz w:val="22"/>
                <w:szCs w:val="22"/>
                <w:color w:val="auto"/>
              </w:rPr>
              <w:t>$1,690</w:t>
            </w:r>
          </w:p>
        </w:tc>
        <w:tc>
          <w:tcPr>
            <w:tcW w:w="1580" w:type="dxa"/>
            <w:vAlign w:val="bottom"/>
            <w:gridSpan w:val="5"/>
          </w:tcPr>
          <w:p>
            <w:pPr>
              <w:jc w:val="right"/>
              <w:ind w:right="260"/>
              <w:spacing w:after="0"/>
              <w:rPr>
                <w:sz w:val="20"/>
                <w:szCs w:val="20"/>
                <w:color w:val="auto"/>
              </w:rPr>
            </w:pPr>
            <w:r>
              <w:rPr>
                <w:rFonts w:ascii="Arial" w:cs="Arial" w:eastAsia="Arial" w:hAnsi="Arial"/>
                <w:sz w:val="22"/>
                <w:szCs w:val="22"/>
                <w:color w:val="auto"/>
              </w:rPr>
              <w:t>$1,545</w:t>
            </w:r>
          </w:p>
        </w:tc>
        <w:tc>
          <w:tcPr>
            <w:tcW w:w="940" w:type="dxa"/>
            <w:vAlign w:val="bottom"/>
            <w:gridSpan w:val="4"/>
          </w:tcPr>
          <w:p>
            <w:pPr>
              <w:jc w:val="right"/>
              <w:spacing w:after="0"/>
              <w:rPr>
                <w:sz w:val="20"/>
                <w:szCs w:val="20"/>
                <w:color w:val="auto"/>
              </w:rPr>
            </w:pPr>
            <w:r>
              <w:rPr>
                <w:rFonts w:ascii="Arial" w:cs="Arial" w:eastAsia="Arial" w:hAnsi="Arial"/>
                <w:sz w:val="22"/>
                <w:szCs w:val="22"/>
                <w:color w:val="auto"/>
              </w:rPr>
              <w:t>$4,805</w:t>
            </w:r>
          </w:p>
        </w:tc>
        <w:tc>
          <w:tcPr>
            <w:tcW w:w="6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22"/>
                <w:szCs w:val="22"/>
                <w:color w:val="auto"/>
                <w:w w:val="86"/>
              </w:rPr>
              <w:t>$4,779</w:t>
            </w:r>
          </w:p>
        </w:tc>
      </w:tr>
      <w:tr>
        <w:trPr>
          <w:trHeight w:val="264"/>
        </w:trPr>
        <w:tc>
          <w:tcPr>
            <w:tcW w:w="800" w:type="dxa"/>
            <w:vAlign w:val="bottom"/>
            <w:gridSpan w:val="4"/>
          </w:tcPr>
          <w:p>
            <w:pPr>
              <w:jc w:val="right"/>
              <w:spacing w:after="0"/>
              <w:rPr>
                <w:sz w:val="20"/>
                <w:szCs w:val="20"/>
                <w:color w:val="auto"/>
              </w:rPr>
            </w:pPr>
            <w:r>
              <w:rPr>
                <w:rFonts w:ascii="Arial" w:cs="Arial" w:eastAsia="Arial" w:hAnsi="Arial"/>
                <w:sz w:val="22"/>
                <w:szCs w:val="22"/>
                <w:color w:val="auto"/>
              </w:rPr>
              <w:t>1,090</w:t>
            </w:r>
          </w:p>
        </w:tc>
        <w:tc>
          <w:tcPr>
            <w:tcW w:w="1580" w:type="dxa"/>
            <w:vAlign w:val="bottom"/>
            <w:gridSpan w:val="5"/>
          </w:tcPr>
          <w:p>
            <w:pPr>
              <w:jc w:val="right"/>
              <w:ind w:right="260"/>
              <w:spacing w:after="0"/>
              <w:rPr>
                <w:sz w:val="20"/>
                <w:szCs w:val="20"/>
                <w:color w:val="auto"/>
              </w:rPr>
            </w:pPr>
            <w:r>
              <w:rPr>
                <w:rFonts w:ascii="Arial" w:cs="Arial" w:eastAsia="Arial" w:hAnsi="Arial"/>
                <w:sz w:val="22"/>
                <w:szCs w:val="22"/>
                <w:color w:val="auto"/>
              </w:rPr>
              <w:t>79</w:t>
            </w:r>
          </w:p>
        </w:tc>
        <w:tc>
          <w:tcPr>
            <w:tcW w:w="940" w:type="dxa"/>
            <w:vAlign w:val="bottom"/>
            <w:gridSpan w:val="4"/>
          </w:tcPr>
          <w:p>
            <w:pPr>
              <w:jc w:val="right"/>
              <w:spacing w:after="0"/>
              <w:rPr>
                <w:sz w:val="20"/>
                <w:szCs w:val="20"/>
                <w:color w:val="auto"/>
              </w:rPr>
            </w:pPr>
            <w:r>
              <w:rPr>
                <w:rFonts w:ascii="Arial" w:cs="Arial" w:eastAsia="Arial" w:hAnsi="Arial"/>
                <w:sz w:val="22"/>
                <w:szCs w:val="22"/>
                <w:color w:val="auto"/>
              </w:rPr>
              <w:t>1,654</w:t>
            </w:r>
          </w:p>
        </w:tc>
        <w:tc>
          <w:tcPr>
            <w:tcW w:w="6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22"/>
                <w:szCs w:val="22"/>
                <w:color w:val="auto"/>
              </w:rPr>
              <w:t>417</w:t>
            </w:r>
          </w:p>
        </w:tc>
      </w:tr>
      <w:tr>
        <w:trPr>
          <w:trHeight w:val="250"/>
        </w:trPr>
        <w:tc>
          <w:tcPr>
            <w:tcW w:w="200" w:type="dxa"/>
            <w:vAlign w:val="bottom"/>
          </w:tcPr>
          <w:p>
            <w:pPr>
              <w:spacing w:after="0"/>
              <w:rPr>
                <w:sz w:val="21"/>
                <w:szCs w:val="21"/>
                <w:color w:val="auto"/>
              </w:rPr>
            </w:pPr>
          </w:p>
        </w:tc>
        <w:tc>
          <w:tcPr>
            <w:tcW w:w="6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2,780</w:t>
            </w:r>
          </w:p>
        </w:tc>
        <w:tc>
          <w:tcPr>
            <w:tcW w:w="700" w:type="dxa"/>
            <w:vAlign w:val="bottom"/>
          </w:tcPr>
          <w:p>
            <w:pPr>
              <w:spacing w:after="0"/>
              <w:rPr>
                <w:sz w:val="21"/>
                <w:szCs w:val="21"/>
                <w:color w:val="auto"/>
              </w:rPr>
            </w:pPr>
          </w:p>
        </w:tc>
        <w:tc>
          <w:tcPr>
            <w:tcW w:w="6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u w:val="single" w:color="auto"/>
                <w:color w:val="auto"/>
                <w:w w:val="89"/>
              </w:rPr>
              <w:t>$</w:t>
            </w:r>
            <w:r>
              <w:rPr>
                <w:rFonts w:ascii="Arial" w:cs="Arial" w:eastAsia="Arial" w:hAnsi="Arial"/>
                <w:sz w:val="22"/>
                <w:szCs w:val="22"/>
                <w:color w:val="auto"/>
                <w:w w:val="89"/>
              </w:rPr>
              <w:t>1,624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u w:val="single" w:color="auto"/>
                <w:color w:val="auto"/>
                <w:w w:val="89"/>
              </w:rPr>
              <w:t>$</w:t>
            </w:r>
            <w:r>
              <w:rPr>
                <w:rFonts w:ascii="Arial" w:cs="Arial" w:eastAsia="Arial" w:hAnsi="Arial"/>
                <w:sz w:val="22"/>
                <w:szCs w:val="22"/>
                <w:color w:val="auto"/>
                <w:w w:val="89"/>
              </w:rPr>
              <w:t>6,459</w:t>
            </w:r>
          </w:p>
        </w:tc>
        <w:tc>
          <w:tcPr>
            <w:tcW w:w="640" w:type="dxa"/>
            <w:vAlign w:val="bottom"/>
          </w:tcPr>
          <w:p>
            <w:pPr>
              <w:spacing w:after="0"/>
              <w:rPr>
                <w:sz w:val="21"/>
                <w:szCs w:val="21"/>
                <w:color w:val="auto"/>
              </w:rPr>
            </w:pPr>
          </w:p>
        </w:tc>
        <w:tc>
          <w:tcPr>
            <w:tcW w:w="6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5,196</w:t>
            </w:r>
          </w:p>
        </w:tc>
      </w:tr>
      <w:tr>
        <w:trPr>
          <w:trHeight w:val="20"/>
        </w:trPr>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-513715</wp:posOffset>
            </wp:positionV>
            <wp:extent cx="67722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543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-196850</wp:posOffset>
            </wp:positionV>
            <wp:extent cx="67722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8034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144145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800" w:space="720"/>
            <w:col w:w="5720"/>
          </w:cols>
          <w:pgMar w:left="320" w:top="402" w:right="339" w:bottom="1440" w:gutter="0" w:footer="0" w:header="0"/>
          <w:type w:val="continuous"/>
        </w:sectPr>
      </w:pPr>
    </w:p>
    <w:bookmarkStart w:id="14" w:name="page15"/>
    <w:bookmarkEnd w:id="14"/>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October 31, 2021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gridSpan w:val="5"/>
          </w:tcPr>
          <w:p>
            <w:pPr>
              <w:ind w:left="460"/>
              <w:spacing w:after="0"/>
              <w:rPr>
                <w:sz w:val="20"/>
                <w:szCs w:val="20"/>
                <w:color w:val="auto"/>
              </w:rPr>
            </w:pPr>
            <w:r>
              <w:rPr>
                <w:rFonts w:ascii="Arial" w:cs="Arial" w:eastAsia="Arial" w:hAnsi="Arial"/>
                <w:sz w:val="22"/>
                <w:szCs w:val="22"/>
                <w:b w:val="1"/>
                <w:bCs w:val="1"/>
                <w:color w:val="auto"/>
              </w:rPr>
              <w:t>Minimum</w:t>
            </w:r>
          </w:p>
        </w:tc>
      </w:tr>
      <w:tr>
        <w:trPr>
          <w:trHeight w:val="230"/>
        </w:trPr>
        <w:tc>
          <w:tcPr>
            <w:tcW w:w="120" w:type="dxa"/>
            <w:vAlign w:val="bottom"/>
          </w:tcPr>
          <w:p>
            <w:pPr>
              <w:spacing w:after="0"/>
              <w:rPr>
                <w:sz w:val="19"/>
                <w:szCs w:val="19"/>
                <w:color w:val="auto"/>
              </w:rPr>
            </w:pPr>
          </w:p>
        </w:tc>
        <w:tc>
          <w:tcPr>
            <w:tcW w:w="288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Years Ended January 31,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w w:val="90"/>
              </w:rPr>
              <w:t>Rentals</w:t>
            </w:r>
          </w:p>
        </w:tc>
      </w:tr>
      <w:tr>
        <w:trPr>
          <w:trHeight w:val="264"/>
        </w:trPr>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20" w:type="dxa"/>
            <w:vAlign w:val="bottom"/>
            <w:shd w:val="clear" w:color="auto" w:fill="E5FFFF"/>
          </w:tcPr>
          <w:p>
            <w:pPr>
              <w:spacing w:after="0"/>
              <w:rPr>
                <w:sz w:val="21"/>
                <w:szCs w:val="21"/>
                <w:color w:val="auto"/>
              </w:rPr>
            </w:pPr>
          </w:p>
        </w:tc>
        <w:tc>
          <w:tcPr>
            <w:tcW w:w="2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2022</w:t>
            </w:r>
          </w:p>
        </w:tc>
        <w:tc>
          <w:tcPr>
            <w:tcW w:w="14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$1,506</w:t>
            </w:r>
          </w:p>
        </w:tc>
        <w:tc>
          <w:tcPr>
            <w:tcW w:w="20" w:type="dxa"/>
            <w:vAlign w:val="bottom"/>
            <w:shd w:val="clear" w:color="auto" w:fill="E5FFFF"/>
          </w:tcPr>
          <w:p>
            <w:pPr>
              <w:spacing w:after="0"/>
              <w:rPr>
                <w:sz w:val="21"/>
                <w:szCs w:val="21"/>
                <w:color w:val="auto"/>
              </w:rPr>
            </w:pPr>
          </w:p>
        </w:tc>
      </w:tr>
      <w:tr>
        <w:trPr>
          <w:trHeight w:val="243"/>
        </w:trPr>
        <w:tc>
          <w:tcPr>
            <w:tcW w:w="24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2023</w:t>
            </w:r>
          </w:p>
        </w:tc>
        <w:tc>
          <w:tcPr>
            <w:tcW w:w="580" w:type="dxa"/>
            <w:vAlign w:val="bottom"/>
          </w:tcPr>
          <w:p>
            <w:pPr>
              <w:spacing w:after="0"/>
              <w:rPr>
                <w:sz w:val="21"/>
                <w:szCs w:val="21"/>
                <w:color w:val="auto"/>
              </w:rPr>
            </w:pPr>
          </w:p>
        </w:tc>
        <w:tc>
          <w:tcPr>
            <w:tcW w:w="14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4,836</w:t>
            </w:r>
          </w:p>
        </w:tc>
        <w:tc>
          <w:tcPr>
            <w:tcW w:w="20" w:type="dxa"/>
            <w:vAlign w:val="bottom"/>
          </w:tcPr>
          <w:p>
            <w:pPr>
              <w:spacing w:after="0"/>
              <w:rPr>
                <w:sz w:val="21"/>
                <w:szCs w:val="21"/>
                <w:color w:val="auto"/>
              </w:rPr>
            </w:pPr>
          </w:p>
        </w:tc>
      </w:tr>
      <w:tr>
        <w:trPr>
          <w:trHeight w:val="243"/>
        </w:trPr>
        <w:tc>
          <w:tcPr>
            <w:tcW w:w="242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2024</w:t>
            </w:r>
          </w:p>
        </w:tc>
        <w:tc>
          <w:tcPr>
            <w:tcW w:w="580" w:type="dxa"/>
            <w:vAlign w:val="bottom"/>
            <w:shd w:val="clear" w:color="auto" w:fill="E5FFFF"/>
          </w:tcPr>
          <w:p>
            <w:pPr>
              <w:spacing w:after="0"/>
              <w:rPr>
                <w:sz w:val="21"/>
                <w:szCs w:val="21"/>
                <w:color w:val="auto"/>
              </w:rPr>
            </w:pPr>
          </w:p>
        </w:tc>
        <w:tc>
          <w:tcPr>
            <w:tcW w:w="14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3,670</w:t>
            </w:r>
          </w:p>
        </w:tc>
        <w:tc>
          <w:tcPr>
            <w:tcW w:w="20" w:type="dxa"/>
            <w:vAlign w:val="bottom"/>
            <w:shd w:val="clear" w:color="auto" w:fill="E5FFFF"/>
          </w:tcPr>
          <w:p>
            <w:pPr>
              <w:spacing w:after="0"/>
              <w:rPr>
                <w:sz w:val="21"/>
                <w:szCs w:val="21"/>
                <w:color w:val="auto"/>
              </w:rPr>
            </w:pPr>
          </w:p>
        </w:tc>
      </w:tr>
      <w:tr>
        <w:trPr>
          <w:trHeight w:val="243"/>
        </w:trPr>
        <w:tc>
          <w:tcPr>
            <w:tcW w:w="24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2025</w:t>
            </w:r>
          </w:p>
        </w:tc>
        <w:tc>
          <w:tcPr>
            <w:tcW w:w="580" w:type="dxa"/>
            <w:vAlign w:val="bottom"/>
          </w:tcPr>
          <w:p>
            <w:pPr>
              <w:spacing w:after="0"/>
              <w:rPr>
                <w:sz w:val="21"/>
                <w:szCs w:val="21"/>
                <w:color w:val="auto"/>
              </w:rPr>
            </w:pPr>
          </w:p>
        </w:tc>
        <w:tc>
          <w:tcPr>
            <w:tcW w:w="14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2,221</w:t>
            </w:r>
          </w:p>
        </w:tc>
        <w:tc>
          <w:tcPr>
            <w:tcW w:w="20" w:type="dxa"/>
            <w:vAlign w:val="bottom"/>
          </w:tcPr>
          <w:p>
            <w:pPr>
              <w:spacing w:after="0"/>
              <w:rPr>
                <w:sz w:val="21"/>
                <w:szCs w:val="21"/>
                <w:color w:val="auto"/>
              </w:rPr>
            </w:pPr>
          </w:p>
        </w:tc>
      </w:tr>
      <w:tr>
        <w:trPr>
          <w:trHeight w:val="257"/>
        </w:trPr>
        <w:tc>
          <w:tcPr>
            <w:tcW w:w="2420" w:type="dxa"/>
            <w:vAlign w:val="bottom"/>
            <w:gridSpan w:val="2"/>
            <w:shd w:val="clear" w:color="auto" w:fill="E5FFFF"/>
          </w:tcPr>
          <w:p>
            <w:pPr>
              <w:ind w:left="120"/>
              <w:spacing w:after="0"/>
              <w:rPr>
                <w:sz w:val="20"/>
                <w:szCs w:val="20"/>
                <w:color w:val="auto"/>
              </w:rPr>
            </w:pPr>
            <w:r>
              <w:rPr>
                <w:rFonts w:ascii="Arial" w:cs="Arial" w:eastAsia="Arial" w:hAnsi="Arial"/>
                <w:sz w:val="22"/>
                <w:szCs w:val="22"/>
                <w:color w:val="auto"/>
              </w:rPr>
              <w:t>2026</w:t>
            </w:r>
          </w:p>
        </w:tc>
        <w:tc>
          <w:tcPr>
            <w:tcW w:w="580" w:type="dxa"/>
            <w:vAlign w:val="bottom"/>
            <w:shd w:val="clear" w:color="auto" w:fill="E5FFFF"/>
          </w:tcPr>
          <w:p>
            <w:pPr>
              <w:spacing w:after="0"/>
              <w:rPr>
                <w:sz w:val="22"/>
                <w:szCs w:val="22"/>
                <w:color w:val="auto"/>
              </w:rPr>
            </w:pPr>
          </w:p>
        </w:tc>
        <w:tc>
          <w:tcPr>
            <w:tcW w:w="1460" w:type="dxa"/>
            <w:vAlign w:val="bottom"/>
            <w:gridSpan w:val="4"/>
            <w:shd w:val="clear" w:color="auto" w:fill="E5FFFF"/>
          </w:tcPr>
          <w:p>
            <w:pPr>
              <w:jc w:val="right"/>
              <w:ind w:right="20"/>
              <w:spacing w:after="0"/>
              <w:rPr>
                <w:sz w:val="20"/>
                <w:szCs w:val="20"/>
                <w:color w:val="auto"/>
              </w:rPr>
            </w:pPr>
            <w:r>
              <w:rPr>
                <w:rFonts w:ascii="Arial" w:cs="Arial" w:eastAsia="Arial" w:hAnsi="Arial"/>
                <w:sz w:val="22"/>
                <w:szCs w:val="22"/>
                <w:color w:val="auto"/>
              </w:rPr>
              <w:t>49</w:t>
            </w:r>
          </w:p>
        </w:tc>
        <w:tc>
          <w:tcPr>
            <w:tcW w:w="20" w:type="dxa"/>
            <w:vAlign w:val="bottom"/>
            <w:shd w:val="clear" w:color="auto" w:fill="E5FFFF"/>
          </w:tcPr>
          <w:p>
            <w:pPr>
              <w:spacing w:after="0"/>
              <w:rPr>
                <w:sz w:val="22"/>
                <w:szCs w:val="22"/>
                <w:color w:val="auto"/>
              </w:rPr>
            </w:pPr>
          </w:p>
        </w:tc>
      </w:tr>
      <w:tr>
        <w:trPr>
          <w:trHeight w:val="236"/>
        </w:trPr>
        <w:tc>
          <w:tcPr>
            <w:tcW w:w="120" w:type="dxa"/>
            <w:vAlign w:val="bottom"/>
          </w:tcPr>
          <w:p>
            <w:pPr>
              <w:spacing w:after="0"/>
              <w:rPr>
                <w:sz w:val="20"/>
                <w:szCs w:val="20"/>
                <w:color w:val="auto"/>
              </w:rPr>
            </w:pPr>
          </w:p>
        </w:tc>
        <w:tc>
          <w:tcPr>
            <w:tcW w:w="288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620" w:type="dxa"/>
            <w:vAlign w:val="bottom"/>
          </w:tcPr>
          <w:p>
            <w:pPr>
              <w:spacing w:after="0"/>
              <w:rPr>
                <w:sz w:val="20"/>
                <w:szCs w:val="20"/>
                <w:color w:val="auto"/>
              </w:rPr>
            </w:pPr>
          </w:p>
        </w:tc>
        <w:tc>
          <w:tcPr>
            <w:tcW w:w="82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12,282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120" w:type="dxa"/>
            <w:vAlign w:val="bottom"/>
            <w:shd w:val="clear" w:color="auto" w:fill="E5FFFF"/>
          </w:tcPr>
          <w:p>
            <w:pPr>
              <w:spacing w:after="0"/>
              <w:rPr>
                <w:sz w:val="22"/>
                <w:szCs w:val="22"/>
                <w:color w:val="auto"/>
              </w:rPr>
            </w:pPr>
          </w:p>
        </w:tc>
        <w:tc>
          <w:tcPr>
            <w:tcW w:w="2880" w:type="dxa"/>
            <w:vAlign w:val="bottom"/>
            <w:gridSpan w:val="2"/>
            <w:shd w:val="clear" w:color="auto" w:fill="E5FFFF"/>
          </w:tcPr>
          <w:p>
            <w:pPr>
              <w:spacing w:after="0"/>
              <w:rPr>
                <w:sz w:val="20"/>
                <w:szCs w:val="20"/>
                <w:color w:val="auto"/>
              </w:rPr>
            </w:pPr>
            <w:r>
              <w:rPr>
                <w:rFonts w:ascii="Arial" w:cs="Arial" w:eastAsia="Arial" w:hAnsi="Arial"/>
                <w:sz w:val="22"/>
                <w:szCs w:val="22"/>
                <w:color w:val="auto"/>
              </w:rPr>
              <w:t>Less: present value discount</w:t>
            </w:r>
          </w:p>
        </w:tc>
        <w:tc>
          <w:tcPr>
            <w:tcW w:w="1460" w:type="dxa"/>
            <w:vAlign w:val="bottom"/>
            <w:gridSpan w:val="4"/>
            <w:shd w:val="clear" w:color="auto" w:fill="E5FFFF"/>
          </w:tcPr>
          <w:p>
            <w:pPr>
              <w:jc w:val="right"/>
              <w:ind w:right="20"/>
              <w:spacing w:after="0"/>
              <w:rPr>
                <w:sz w:val="20"/>
                <w:szCs w:val="20"/>
                <w:color w:val="auto"/>
              </w:rPr>
            </w:pPr>
            <w:r>
              <w:rPr>
                <w:rFonts w:ascii="Arial" w:cs="Arial" w:eastAsia="Arial" w:hAnsi="Arial"/>
                <w:sz w:val="22"/>
                <w:szCs w:val="22"/>
                <w:color w:val="auto"/>
              </w:rPr>
              <w:t>730</w:t>
            </w:r>
          </w:p>
        </w:tc>
        <w:tc>
          <w:tcPr>
            <w:tcW w:w="20" w:type="dxa"/>
            <w:vAlign w:val="bottom"/>
            <w:shd w:val="clear" w:color="auto" w:fill="E5FFFF"/>
          </w:tcPr>
          <w:p>
            <w:pPr>
              <w:spacing w:after="0"/>
              <w:rPr>
                <w:sz w:val="22"/>
                <w:szCs w:val="22"/>
                <w:color w:val="auto"/>
              </w:rPr>
            </w:pPr>
          </w:p>
        </w:tc>
      </w:tr>
      <w:tr>
        <w:trPr>
          <w:trHeight w:val="250"/>
        </w:trPr>
        <w:tc>
          <w:tcPr>
            <w:tcW w:w="120" w:type="dxa"/>
            <w:vAlign w:val="bottom"/>
          </w:tcPr>
          <w:p>
            <w:pPr>
              <w:spacing w:after="0"/>
              <w:rPr>
                <w:sz w:val="21"/>
                <w:szCs w:val="21"/>
                <w:color w:val="auto"/>
              </w:rPr>
            </w:pPr>
          </w:p>
        </w:tc>
        <w:tc>
          <w:tcPr>
            <w:tcW w:w="2880" w:type="dxa"/>
            <w:vAlign w:val="bottom"/>
            <w:gridSpan w:val="2"/>
          </w:tcPr>
          <w:p>
            <w:pPr>
              <w:spacing w:after="0" w:line="250" w:lineRule="exact"/>
              <w:rPr>
                <w:sz w:val="20"/>
                <w:szCs w:val="20"/>
                <w:color w:val="auto"/>
              </w:rPr>
            </w:pPr>
            <w:r>
              <w:rPr>
                <w:rFonts w:ascii="Arial" w:cs="Arial" w:eastAsia="Arial" w:hAnsi="Arial"/>
                <w:sz w:val="22"/>
                <w:szCs w:val="22"/>
                <w:color w:val="auto"/>
              </w:rPr>
              <w:t>Operating lease liabilities</w:t>
            </w:r>
          </w:p>
        </w:tc>
        <w:tc>
          <w:tcPr>
            <w:tcW w:w="620" w:type="dxa"/>
            <w:vAlign w:val="bottom"/>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$11,552</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At October 31, 2021, the weighted average remaining lease term is 2.6 years, and the weighted average discount rate is 4.87% for the above leases.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January 31, 2021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gridSpan w:val="5"/>
          </w:tcPr>
          <w:p>
            <w:pPr>
              <w:ind w:left="460"/>
              <w:spacing w:after="0"/>
              <w:rPr>
                <w:sz w:val="20"/>
                <w:szCs w:val="20"/>
                <w:color w:val="auto"/>
              </w:rPr>
            </w:pPr>
            <w:r>
              <w:rPr>
                <w:rFonts w:ascii="Arial" w:cs="Arial" w:eastAsia="Arial" w:hAnsi="Arial"/>
                <w:sz w:val="22"/>
                <w:szCs w:val="22"/>
                <w:b w:val="1"/>
                <w:bCs w:val="1"/>
                <w:color w:val="auto"/>
              </w:rPr>
              <w:t>Minimum</w:t>
            </w:r>
          </w:p>
        </w:tc>
      </w:tr>
      <w:tr>
        <w:trPr>
          <w:trHeight w:val="230"/>
        </w:trPr>
        <w:tc>
          <w:tcPr>
            <w:tcW w:w="300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Years Ended January 31,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w w:val="90"/>
              </w:rPr>
              <w:t>Rentals</w:t>
            </w:r>
          </w:p>
        </w:tc>
      </w:tr>
      <w:tr>
        <w:trPr>
          <w:trHeight w:val="277"/>
        </w:trPr>
        <w:tc>
          <w:tcPr>
            <w:tcW w:w="23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3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2022</w:t>
            </w:r>
          </w:p>
        </w:tc>
        <w:tc>
          <w:tcPr>
            <w:tcW w:w="680" w:type="dxa"/>
            <w:vAlign w:val="bottom"/>
            <w:shd w:val="clear" w:color="auto" w:fill="E5FFFF"/>
          </w:tcPr>
          <w:p>
            <w:pPr>
              <w:spacing w:after="0"/>
              <w:rPr>
                <w:sz w:val="21"/>
                <w:szCs w:val="21"/>
                <w:color w:val="auto"/>
              </w:rPr>
            </w:pPr>
          </w:p>
        </w:tc>
        <w:tc>
          <w:tcPr>
            <w:tcW w:w="14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$5,397</w:t>
            </w:r>
          </w:p>
        </w:tc>
        <w:tc>
          <w:tcPr>
            <w:tcW w:w="20" w:type="dxa"/>
            <w:vAlign w:val="bottom"/>
            <w:shd w:val="clear" w:color="auto" w:fill="E5FFFF"/>
          </w:tcPr>
          <w:p>
            <w:pPr>
              <w:spacing w:after="0"/>
              <w:rPr>
                <w:sz w:val="21"/>
                <w:szCs w:val="21"/>
                <w:color w:val="auto"/>
              </w:rPr>
            </w:pPr>
          </w:p>
        </w:tc>
      </w:tr>
      <w:tr>
        <w:trPr>
          <w:trHeight w:val="243"/>
        </w:trPr>
        <w:tc>
          <w:tcPr>
            <w:tcW w:w="2320" w:type="dxa"/>
            <w:vAlign w:val="bottom"/>
          </w:tcPr>
          <w:p>
            <w:pPr>
              <w:ind w:left="120"/>
              <w:spacing w:after="0" w:line="243" w:lineRule="exact"/>
              <w:rPr>
                <w:sz w:val="20"/>
                <w:szCs w:val="20"/>
                <w:color w:val="auto"/>
              </w:rPr>
            </w:pPr>
            <w:r>
              <w:rPr>
                <w:rFonts w:ascii="Arial" w:cs="Arial" w:eastAsia="Arial" w:hAnsi="Arial"/>
                <w:sz w:val="22"/>
                <w:szCs w:val="22"/>
                <w:color w:val="auto"/>
              </w:rPr>
              <w:t>2023</w:t>
            </w:r>
          </w:p>
        </w:tc>
        <w:tc>
          <w:tcPr>
            <w:tcW w:w="680" w:type="dxa"/>
            <w:vAlign w:val="bottom"/>
          </w:tcPr>
          <w:p>
            <w:pPr>
              <w:spacing w:after="0"/>
              <w:rPr>
                <w:sz w:val="21"/>
                <w:szCs w:val="21"/>
                <w:color w:val="auto"/>
              </w:rPr>
            </w:pPr>
          </w:p>
        </w:tc>
        <w:tc>
          <w:tcPr>
            <w:tcW w:w="14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3,690</w:t>
            </w:r>
          </w:p>
        </w:tc>
        <w:tc>
          <w:tcPr>
            <w:tcW w:w="20" w:type="dxa"/>
            <w:vAlign w:val="bottom"/>
          </w:tcPr>
          <w:p>
            <w:pPr>
              <w:spacing w:after="0"/>
              <w:rPr>
                <w:sz w:val="21"/>
                <w:szCs w:val="21"/>
                <w:color w:val="auto"/>
              </w:rPr>
            </w:pPr>
          </w:p>
        </w:tc>
      </w:tr>
      <w:tr>
        <w:trPr>
          <w:trHeight w:val="243"/>
        </w:trPr>
        <w:tc>
          <w:tcPr>
            <w:tcW w:w="23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2024</w:t>
            </w:r>
          </w:p>
        </w:tc>
        <w:tc>
          <w:tcPr>
            <w:tcW w:w="680" w:type="dxa"/>
            <w:vAlign w:val="bottom"/>
            <w:shd w:val="clear" w:color="auto" w:fill="E5FFFF"/>
          </w:tcPr>
          <w:p>
            <w:pPr>
              <w:spacing w:after="0"/>
              <w:rPr>
                <w:sz w:val="21"/>
                <w:szCs w:val="21"/>
                <w:color w:val="auto"/>
              </w:rPr>
            </w:pPr>
          </w:p>
        </w:tc>
        <w:tc>
          <w:tcPr>
            <w:tcW w:w="14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2,524</w:t>
            </w:r>
          </w:p>
        </w:tc>
        <w:tc>
          <w:tcPr>
            <w:tcW w:w="20" w:type="dxa"/>
            <w:vAlign w:val="bottom"/>
            <w:shd w:val="clear" w:color="auto" w:fill="E5FFFF"/>
          </w:tcPr>
          <w:p>
            <w:pPr>
              <w:spacing w:after="0"/>
              <w:rPr>
                <w:sz w:val="21"/>
                <w:szCs w:val="21"/>
                <w:color w:val="auto"/>
              </w:rPr>
            </w:pPr>
          </w:p>
        </w:tc>
      </w:tr>
      <w:tr>
        <w:trPr>
          <w:trHeight w:val="243"/>
        </w:trPr>
        <w:tc>
          <w:tcPr>
            <w:tcW w:w="2320" w:type="dxa"/>
            <w:vAlign w:val="bottom"/>
          </w:tcPr>
          <w:p>
            <w:pPr>
              <w:ind w:left="120"/>
              <w:spacing w:after="0" w:line="243" w:lineRule="exact"/>
              <w:rPr>
                <w:sz w:val="20"/>
                <w:szCs w:val="20"/>
                <w:color w:val="auto"/>
              </w:rPr>
            </w:pPr>
            <w:r>
              <w:rPr>
                <w:rFonts w:ascii="Arial" w:cs="Arial" w:eastAsia="Arial" w:hAnsi="Arial"/>
                <w:sz w:val="22"/>
                <w:szCs w:val="22"/>
                <w:color w:val="auto"/>
              </w:rPr>
              <w:t>2025</w:t>
            </w:r>
          </w:p>
        </w:tc>
        <w:tc>
          <w:tcPr>
            <w:tcW w:w="680" w:type="dxa"/>
            <w:vAlign w:val="bottom"/>
          </w:tcPr>
          <w:p>
            <w:pPr>
              <w:spacing w:after="0"/>
              <w:rPr>
                <w:sz w:val="21"/>
                <w:szCs w:val="21"/>
                <w:color w:val="auto"/>
              </w:rPr>
            </w:pPr>
          </w:p>
        </w:tc>
        <w:tc>
          <w:tcPr>
            <w:tcW w:w="14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1,648</w:t>
            </w:r>
          </w:p>
        </w:tc>
        <w:tc>
          <w:tcPr>
            <w:tcW w:w="20" w:type="dxa"/>
            <w:vAlign w:val="bottom"/>
          </w:tcPr>
          <w:p>
            <w:pPr>
              <w:spacing w:after="0"/>
              <w:rPr>
                <w:sz w:val="21"/>
                <w:szCs w:val="21"/>
                <w:color w:val="auto"/>
              </w:rPr>
            </w:pPr>
          </w:p>
        </w:tc>
      </w:tr>
      <w:tr>
        <w:trPr>
          <w:trHeight w:val="243"/>
        </w:trPr>
        <w:tc>
          <w:tcPr>
            <w:tcW w:w="232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2026</w:t>
            </w:r>
          </w:p>
        </w:tc>
        <w:tc>
          <w:tcPr>
            <w:tcW w:w="680" w:type="dxa"/>
            <w:vAlign w:val="bottom"/>
            <w:shd w:val="clear" w:color="auto" w:fill="E5FFFF"/>
          </w:tcPr>
          <w:p>
            <w:pPr>
              <w:spacing w:after="0"/>
              <w:rPr>
                <w:sz w:val="21"/>
                <w:szCs w:val="21"/>
                <w:color w:val="auto"/>
              </w:rPr>
            </w:pPr>
          </w:p>
        </w:tc>
        <w:tc>
          <w:tcPr>
            <w:tcW w:w="14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49</w:t>
            </w:r>
          </w:p>
        </w:tc>
        <w:tc>
          <w:tcPr>
            <w:tcW w:w="20" w:type="dxa"/>
            <w:vAlign w:val="bottom"/>
            <w:shd w:val="clear" w:color="auto" w:fill="E5FFFF"/>
          </w:tcPr>
          <w:p>
            <w:pPr>
              <w:spacing w:after="0"/>
              <w:rPr>
                <w:sz w:val="21"/>
                <w:szCs w:val="21"/>
                <w:color w:val="auto"/>
              </w:rPr>
            </w:pPr>
          </w:p>
        </w:tc>
      </w:tr>
      <w:tr>
        <w:trPr>
          <w:trHeight w:val="237"/>
        </w:trPr>
        <w:tc>
          <w:tcPr>
            <w:tcW w:w="3000" w:type="dxa"/>
            <w:vAlign w:val="bottom"/>
            <w:gridSpan w:val="2"/>
          </w:tcPr>
          <w:p>
            <w:pPr>
              <w:ind w:left="120"/>
              <w:spacing w:after="0" w:line="237" w:lineRule="exact"/>
              <w:rPr>
                <w:sz w:val="20"/>
                <w:szCs w:val="20"/>
                <w:color w:val="auto"/>
              </w:rPr>
            </w:pPr>
            <w:r>
              <w:rPr>
                <w:rFonts w:ascii="Arial" w:cs="Arial" w:eastAsia="Arial" w:hAnsi="Arial"/>
                <w:sz w:val="22"/>
                <w:szCs w:val="22"/>
                <w:color w:val="auto"/>
              </w:rPr>
              <w:t>Total</w:t>
            </w:r>
          </w:p>
        </w:tc>
        <w:tc>
          <w:tcPr>
            <w:tcW w:w="620" w:type="dxa"/>
            <w:vAlign w:val="bottom"/>
          </w:tcPr>
          <w:p>
            <w:pPr>
              <w:spacing w:after="0"/>
              <w:rPr>
                <w:sz w:val="20"/>
                <w:szCs w:val="20"/>
                <w:color w:val="auto"/>
              </w:rPr>
            </w:pPr>
          </w:p>
        </w:tc>
        <w:tc>
          <w:tcPr>
            <w:tcW w:w="82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13,308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000" w:type="dxa"/>
            <w:vAlign w:val="bottom"/>
            <w:gridSpan w:val="2"/>
            <w:shd w:val="clear" w:color="auto" w:fill="E5FFFF"/>
          </w:tcPr>
          <w:p>
            <w:pPr>
              <w:ind w:left="120"/>
              <w:spacing w:after="0" w:line="243" w:lineRule="exact"/>
              <w:rPr>
                <w:sz w:val="20"/>
                <w:szCs w:val="20"/>
                <w:color w:val="auto"/>
              </w:rPr>
            </w:pPr>
            <w:r>
              <w:rPr>
                <w:rFonts w:ascii="Arial" w:cs="Arial" w:eastAsia="Arial" w:hAnsi="Arial"/>
                <w:sz w:val="22"/>
                <w:szCs w:val="22"/>
                <w:color w:val="auto"/>
              </w:rPr>
              <w:t>Less: present value discount</w:t>
            </w:r>
          </w:p>
        </w:tc>
        <w:tc>
          <w:tcPr>
            <w:tcW w:w="146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994</w:t>
            </w:r>
          </w:p>
        </w:tc>
        <w:tc>
          <w:tcPr>
            <w:tcW w:w="20" w:type="dxa"/>
            <w:vAlign w:val="bottom"/>
            <w:shd w:val="clear" w:color="auto" w:fill="E5FFFF"/>
          </w:tcPr>
          <w:p>
            <w:pPr>
              <w:spacing w:after="0"/>
              <w:rPr>
                <w:sz w:val="21"/>
                <w:szCs w:val="21"/>
                <w:color w:val="auto"/>
              </w:rPr>
            </w:pPr>
          </w:p>
        </w:tc>
      </w:tr>
      <w:tr>
        <w:trPr>
          <w:trHeight w:val="250"/>
        </w:trPr>
        <w:tc>
          <w:tcPr>
            <w:tcW w:w="3000" w:type="dxa"/>
            <w:vAlign w:val="bottom"/>
            <w:gridSpan w:val="2"/>
          </w:tcPr>
          <w:p>
            <w:pPr>
              <w:ind w:left="120"/>
              <w:spacing w:after="0" w:line="250" w:lineRule="exact"/>
              <w:rPr>
                <w:sz w:val="20"/>
                <w:szCs w:val="20"/>
                <w:color w:val="auto"/>
              </w:rPr>
            </w:pPr>
            <w:r>
              <w:rPr>
                <w:rFonts w:ascii="Arial" w:cs="Arial" w:eastAsia="Arial" w:hAnsi="Arial"/>
                <w:sz w:val="22"/>
                <w:szCs w:val="22"/>
                <w:color w:val="auto"/>
              </w:rPr>
              <w:t>Operating lease liabilities</w:t>
            </w:r>
          </w:p>
        </w:tc>
        <w:tc>
          <w:tcPr>
            <w:tcW w:w="620" w:type="dxa"/>
            <w:vAlign w:val="bottom"/>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$12,314</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At January 31, 2021, the weighted average remaining lease term was 3.0 years, and the weighted average discount rate was 5.26% for the above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5" w:name="page16"/>
    <w:bookmarkEnd w:id="15"/>
    <w:p>
      <w:pPr>
        <w:ind w:right="16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420" w:firstLine="8"/>
        <w:spacing w:after="0" w:line="233" w:lineRule="auto"/>
        <w:tabs>
          <w:tab w:leader="none" w:pos="258" w:val="left"/>
        </w:tabs>
        <w:numPr>
          <w:ilvl w:val="0"/>
          <w:numId w:val="4"/>
        </w:numPr>
        <w:rPr>
          <w:rFonts w:ascii="Arial" w:cs="Arial" w:eastAsia="Arial" w:hAnsi="Arial"/>
          <w:sz w:val="22"/>
          <w:szCs w:val="22"/>
          <w:color w:val="auto"/>
        </w:rPr>
      </w:pPr>
      <w:r>
        <w:rPr>
          <w:rFonts w:ascii="Arial" w:cs="Arial" w:eastAsia="Arial" w:hAnsi="Arial"/>
          <w:sz w:val="22"/>
          <w:szCs w:val="22"/>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October 31, 2021 are summarized below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00" w:type="dxa"/>
            <w:vAlign w:val="bottom"/>
          </w:tcPr>
          <w:p>
            <w:pPr>
              <w:spacing w:after="0"/>
              <w:rPr>
                <w:sz w:val="22"/>
                <w:szCs w:val="22"/>
                <w:color w:val="auto"/>
              </w:rPr>
            </w:pPr>
          </w:p>
        </w:tc>
        <w:tc>
          <w:tcPr>
            <w:tcW w:w="2120" w:type="dxa"/>
            <w:vAlign w:val="bottom"/>
            <w:gridSpan w:val="5"/>
          </w:tcPr>
          <w:p>
            <w:pPr>
              <w:jc w:val="right"/>
              <w:ind w:right="280"/>
              <w:spacing w:after="0"/>
              <w:rPr>
                <w:sz w:val="20"/>
                <w:szCs w:val="20"/>
                <w:color w:val="auto"/>
              </w:rPr>
            </w:pPr>
            <w:r>
              <w:rPr>
                <w:rFonts w:ascii="Arial" w:cs="Arial" w:eastAsia="Arial" w:hAnsi="Arial"/>
                <w:sz w:val="22"/>
                <w:szCs w:val="22"/>
                <w:b w:val="1"/>
                <w:bCs w:val="1"/>
                <w:color w:val="auto"/>
              </w:rPr>
              <w:t>Level 1</w:t>
            </w:r>
          </w:p>
        </w:tc>
        <w:tc>
          <w:tcPr>
            <w:tcW w:w="28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Arial" w:cs="Arial" w:eastAsia="Arial" w:hAnsi="Arial"/>
                <w:sz w:val="22"/>
                <w:szCs w:val="22"/>
                <w:b w:val="1"/>
                <w:bCs w:val="1"/>
                <w:color w:val="auto"/>
              </w:rPr>
              <w:t>Level 2</w:t>
            </w:r>
          </w:p>
        </w:tc>
        <w:tc>
          <w:tcPr>
            <w:tcW w:w="1040" w:type="dxa"/>
            <w:vAlign w:val="bottom"/>
            <w:gridSpan w:val="5"/>
          </w:tcPr>
          <w:p>
            <w:pPr>
              <w:ind w:left="240"/>
              <w:spacing w:after="0"/>
              <w:rPr>
                <w:sz w:val="20"/>
                <w:szCs w:val="20"/>
                <w:color w:val="auto"/>
              </w:rPr>
            </w:pPr>
            <w:r>
              <w:rPr>
                <w:rFonts w:ascii="Arial" w:cs="Arial" w:eastAsia="Arial" w:hAnsi="Arial"/>
                <w:sz w:val="22"/>
                <w:szCs w:val="22"/>
                <w:b w:val="1"/>
                <w:bCs w:val="1"/>
                <w:color w:val="auto"/>
              </w:rPr>
              <w:t>Level 3</w:t>
            </w:r>
          </w:p>
        </w:tc>
        <w:tc>
          <w:tcPr>
            <w:tcW w:w="1220" w:type="dxa"/>
            <w:vAlign w:val="bottom"/>
            <w:gridSpan w:val="5"/>
          </w:tcPr>
          <w:p>
            <w:pPr>
              <w:ind w:left="160"/>
              <w:spacing w:after="0"/>
              <w:rPr>
                <w:sz w:val="20"/>
                <w:szCs w:val="20"/>
                <w:color w:val="auto"/>
              </w:rPr>
            </w:pPr>
            <w:r>
              <w:rPr>
                <w:rFonts w:ascii="Arial" w:cs="Arial" w:eastAsia="Arial" w:hAnsi="Arial"/>
                <w:sz w:val="22"/>
                <w:szCs w:val="22"/>
                <w:b w:val="1"/>
                <w:bCs w:val="1"/>
                <w:color w:val="auto"/>
                <w:w w:val="98"/>
              </w:rPr>
              <w:t>Fair Value</w:t>
            </w:r>
          </w:p>
        </w:tc>
        <w:tc>
          <w:tcPr>
            <w:tcW w:w="1680" w:type="dxa"/>
            <w:vAlign w:val="bottom"/>
          </w:tcPr>
          <w:p>
            <w:pPr>
              <w:spacing w:after="0"/>
              <w:rPr>
                <w:sz w:val="22"/>
                <w:szCs w:val="22"/>
                <w:color w:val="auto"/>
              </w:rPr>
            </w:pPr>
          </w:p>
        </w:tc>
      </w:tr>
      <w:tr>
        <w:trPr>
          <w:trHeight w:val="250"/>
        </w:trPr>
        <w:tc>
          <w:tcPr>
            <w:tcW w:w="4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00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Investment in cooperative (1)</w:t>
            </w:r>
          </w:p>
        </w:tc>
        <w:tc>
          <w:tcPr>
            <w:tcW w:w="14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420" w:type="dxa"/>
            <w:vAlign w:val="bottom"/>
            <w:gridSpan w:val="2"/>
            <w:shd w:val="clear" w:color="auto" w:fill="E5FFFF"/>
          </w:tcPr>
          <w:p>
            <w:pPr>
              <w:ind w:left="280"/>
              <w:spacing w:after="0" w:line="243" w:lineRule="exact"/>
              <w:rPr>
                <w:sz w:val="20"/>
                <w:szCs w:val="20"/>
                <w:color w:val="auto"/>
              </w:rPr>
            </w:pPr>
            <w:r>
              <w:rPr>
                <w:rFonts w:ascii="Arial" w:cs="Arial" w:eastAsia="Arial" w:hAnsi="Arial"/>
                <w:sz w:val="22"/>
                <w:szCs w:val="22"/>
                <w:color w:val="auto"/>
                <w:w w:val="97"/>
              </w:rPr>
              <w:t>$</w:t>
            </w: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354</w:t>
            </w:r>
          </w:p>
        </w:tc>
        <w:tc>
          <w:tcPr>
            <w:tcW w:w="140" w:type="dxa"/>
            <w:vAlign w:val="bottom"/>
            <w:shd w:val="clear" w:color="auto" w:fill="E5FFFF"/>
          </w:tcPr>
          <w:p>
            <w:pPr>
              <w:spacing w:after="0"/>
              <w:rPr>
                <w:sz w:val="21"/>
                <w:szCs w:val="21"/>
                <w:color w:val="auto"/>
              </w:rPr>
            </w:pPr>
          </w:p>
        </w:tc>
        <w:tc>
          <w:tcPr>
            <w:tcW w:w="6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354</w:t>
            </w:r>
          </w:p>
        </w:tc>
        <w:tc>
          <w:tcPr>
            <w:tcW w:w="1680" w:type="dxa"/>
            <w:vAlign w:val="bottom"/>
          </w:tcPr>
          <w:p>
            <w:pPr>
              <w:spacing w:after="0"/>
              <w:rPr>
                <w:sz w:val="21"/>
                <w:szCs w:val="21"/>
                <w:color w:val="auto"/>
              </w:rPr>
            </w:pPr>
          </w:p>
        </w:tc>
      </w:tr>
      <w:tr>
        <w:trPr>
          <w:trHeight w:val="257"/>
        </w:trPr>
        <w:tc>
          <w:tcPr>
            <w:tcW w:w="4000" w:type="dxa"/>
            <w:vAlign w:val="bottom"/>
          </w:tcPr>
          <w:p>
            <w:pPr>
              <w:ind w:left="100"/>
              <w:spacing w:after="0"/>
              <w:rPr>
                <w:sz w:val="20"/>
                <w:szCs w:val="20"/>
                <w:color w:val="auto"/>
              </w:rPr>
            </w:pPr>
            <w:r>
              <w:rPr>
                <w:rFonts w:ascii="Arial" w:cs="Arial" w:eastAsia="Arial" w:hAnsi="Arial"/>
                <w:sz w:val="22"/>
                <w:szCs w:val="22"/>
                <w:color w:val="auto"/>
              </w:rPr>
              <w:t>Forward purchase contracts (2)</w:t>
            </w: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430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22"/>
                <w:szCs w:val="22"/>
                <w:color w:val="auto"/>
              </w:rPr>
              <w:t>430</w:t>
            </w:r>
          </w:p>
        </w:tc>
        <w:tc>
          <w:tcPr>
            <w:tcW w:w="1680" w:type="dxa"/>
            <w:vAlign w:val="bottom"/>
          </w:tcPr>
          <w:p>
            <w:pPr>
              <w:spacing w:after="0"/>
              <w:rPr>
                <w:sz w:val="22"/>
                <w:szCs w:val="22"/>
                <w:color w:val="auto"/>
              </w:rPr>
            </w:pPr>
          </w:p>
        </w:tc>
      </w:tr>
      <w:tr>
        <w:trPr>
          <w:trHeight w:val="250"/>
        </w:trPr>
        <w:tc>
          <w:tcPr>
            <w:tcW w:w="4000" w:type="dxa"/>
            <w:vAlign w:val="bottom"/>
            <w:tcBorders>
              <w:top w:val="single" w:sz="8" w:color="E5FFFF"/>
              <w:bottom w:val="single" w:sz="8" w:color="E5FFFF"/>
            </w:tcBorders>
            <w:shd w:val="clear" w:color="auto" w:fill="E5FFFF"/>
          </w:tcPr>
          <w:p>
            <w:pPr>
              <w:ind w:left="100"/>
              <w:spacing w:after="0" w:line="250" w:lineRule="exact"/>
              <w:rPr>
                <w:sz w:val="20"/>
                <w:szCs w:val="20"/>
                <w:color w:val="auto"/>
              </w:rPr>
            </w:pPr>
            <w:r>
              <w:rPr>
                <w:rFonts w:ascii="Arial" w:cs="Arial" w:eastAsia="Arial" w:hAnsi="Arial"/>
                <w:sz w:val="22"/>
                <w:szCs w:val="22"/>
                <w:color w:val="auto"/>
              </w:rPr>
              <w:t>Total assets</w:t>
            </w:r>
          </w:p>
        </w:tc>
        <w:tc>
          <w:tcPr>
            <w:tcW w:w="118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w w:val="97"/>
              </w:rPr>
              <w:t>$</w:t>
            </w:r>
          </w:p>
        </w:tc>
        <w:tc>
          <w:tcPr>
            <w:tcW w:w="5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430</w:t>
            </w: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7"/>
              </w:rPr>
              <w:t>354</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784</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67"/>
        </w:trPr>
        <w:tc>
          <w:tcPr>
            <w:tcW w:w="4000" w:type="dxa"/>
            <w:vAlign w:val="bottom"/>
          </w:tcPr>
          <w:p>
            <w:pPr>
              <w:ind w:left="100"/>
              <w:spacing w:after="0"/>
              <w:rPr>
                <w:sz w:val="20"/>
                <w:szCs w:val="20"/>
                <w:color w:val="auto"/>
              </w:rPr>
            </w:pPr>
            <w:r>
              <w:rPr>
                <w:rFonts w:ascii="Arial" w:cs="Arial" w:eastAsia="Arial" w:hAnsi="Arial"/>
                <w:sz w:val="22"/>
                <w:szCs w:val="22"/>
                <w:color w:val="auto"/>
              </w:rPr>
              <w:t>Forward purchase contracts (3)</w:t>
            </w: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420" w:type="dxa"/>
            <w:vAlign w:val="bottom"/>
            <w:gridSpan w:val="2"/>
          </w:tcPr>
          <w:p>
            <w:pPr>
              <w:ind w:left="280"/>
              <w:spacing w:after="0"/>
              <w:rPr>
                <w:sz w:val="20"/>
                <w:szCs w:val="20"/>
                <w:color w:val="auto"/>
              </w:rPr>
            </w:pPr>
            <w:r>
              <w:rPr>
                <w:rFonts w:ascii="Arial" w:cs="Arial" w:eastAsia="Arial" w:hAnsi="Arial"/>
                <w:sz w:val="22"/>
                <w:szCs w:val="22"/>
                <w:color w:val="auto"/>
                <w:w w:val="97"/>
              </w:rPr>
              <w:t>$</w:t>
            </w:r>
          </w:p>
        </w:tc>
        <w:tc>
          <w:tcPr>
            <w:tcW w:w="520" w:type="dxa"/>
            <w:vAlign w:val="bottom"/>
          </w:tcPr>
          <w:p>
            <w:pPr>
              <w:jc w:val="right"/>
              <w:spacing w:after="0"/>
              <w:rPr>
                <w:sz w:val="20"/>
                <w:szCs w:val="20"/>
                <w:color w:val="auto"/>
              </w:rPr>
            </w:pPr>
            <w:r>
              <w:rPr>
                <w:rFonts w:ascii="Arial" w:cs="Arial" w:eastAsia="Arial" w:hAnsi="Arial"/>
                <w:sz w:val="22"/>
                <w:szCs w:val="22"/>
                <w:color w:val="auto"/>
              </w:rPr>
              <w:t>687</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22"/>
                <w:szCs w:val="22"/>
                <w:color w:val="auto"/>
              </w:rPr>
              <w:t>687</w:t>
            </w:r>
          </w:p>
        </w:tc>
        <w:tc>
          <w:tcPr>
            <w:tcW w:w="1680" w:type="dxa"/>
            <w:vAlign w:val="bottom"/>
          </w:tcPr>
          <w:p>
            <w:pPr>
              <w:spacing w:after="0"/>
              <w:rPr>
                <w:sz w:val="24"/>
                <w:szCs w:val="24"/>
                <w:color w:val="auto"/>
              </w:rPr>
            </w:pPr>
          </w:p>
        </w:tc>
      </w:tr>
      <w:tr>
        <w:trPr>
          <w:trHeight w:val="256"/>
        </w:trPr>
        <w:tc>
          <w:tcPr>
            <w:tcW w:w="4000" w:type="dxa"/>
            <w:vAlign w:val="bottom"/>
            <w:shd w:val="clear" w:color="auto" w:fill="E5FFFF"/>
          </w:tcPr>
          <w:p>
            <w:pPr>
              <w:ind w:left="100"/>
              <w:spacing w:after="0"/>
              <w:rPr>
                <w:sz w:val="20"/>
                <w:szCs w:val="20"/>
                <w:color w:val="auto"/>
              </w:rPr>
            </w:pPr>
            <w:r>
              <w:rPr>
                <w:rFonts w:ascii="Arial" w:cs="Arial" w:eastAsia="Arial" w:hAnsi="Arial"/>
                <w:sz w:val="22"/>
                <w:szCs w:val="22"/>
                <w:color w:val="auto"/>
              </w:rPr>
              <w:t>Commodity futures liability (3)</w:t>
            </w:r>
          </w:p>
        </w:tc>
        <w:tc>
          <w:tcPr>
            <w:tcW w:w="11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80" w:type="dxa"/>
            <w:vAlign w:val="bottom"/>
            <w:gridSpan w:val="2"/>
            <w:shd w:val="clear" w:color="auto" w:fill="E5FFFF"/>
          </w:tcPr>
          <w:p>
            <w:pPr>
              <w:jc w:val="right"/>
              <w:ind w:right="280"/>
              <w:spacing w:after="0"/>
              <w:rPr>
                <w:sz w:val="20"/>
                <w:szCs w:val="20"/>
                <w:color w:val="auto"/>
              </w:rPr>
            </w:pPr>
            <w:r>
              <w:rPr>
                <w:rFonts w:ascii="Arial" w:cs="Arial" w:eastAsia="Arial" w:hAnsi="Arial"/>
                <w:sz w:val="22"/>
                <w:szCs w:val="22"/>
                <w:color w:val="auto"/>
              </w:rPr>
              <w:t>-</w:t>
            </w:r>
          </w:p>
        </w:tc>
        <w:tc>
          <w:tcPr>
            <w:tcW w:w="2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22"/>
                <w:szCs w:val="22"/>
                <w:color w:val="auto"/>
                <w:w w:val="90"/>
              </w:rPr>
              <w:t>3,822</w:t>
            </w:r>
          </w:p>
        </w:tc>
        <w:tc>
          <w:tcPr>
            <w:tcW w:w="2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6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w w:val="87"/>
              </w:rPr>
              <w:t>3,822</w:t>
            </w:r>
          </w:p>
        </w:tc>
        <w:tc>
          <w:tcPr>
            <w:tcW w:w="1680" w:type="dxa"/>
            <w:vAlign w:val="bottom"/>
          </w:tcPr>
          <w:p>
            <w:pPr>
              <w:spacing w:after="0"/>
              <w:rPr>
                <w:sz w:val="22"/>
                <w:szCs w:val="22"/>
                <w:color w:val="auto"/>
              </w:rPr>
            </w:pPr>
          </w:p>
        </w:tc>
      </w:tr>
      <w:tr>
        <w:trPr>
          <w:trHeight w:val="250"/>
        </w:trPr>
        <w:tc>
          <w:tcPr>
            <w:tcW w:w="4000" w:type="dxa"/>
            <w:vAlign w:val="bottom"/>
          </w:tcPr>
          <w:p>
            <w:pPr>
              <w:ind w:left="100"/>
              <w:spacing w:after="0" w:line="250" w:lineRule="exact"/>
              <w:rPr>
                <w:sz w:val="20"/>
                <w:szCs w:val="20"/>
                <w:color w:val="auto"/>
              </w:rPr>
            </w:pPr>
            <w:r>
              <w:rPr>
                <w:rFonts w:ascii="Arial" w:cs="Arial" w:eastAsia="Arial" w:hAnsi="Arial"/>
                <w:sz w:val="22"/>
                <w:szCs w:val="22"/>
                <w:color w:val="auto"/>
              </w:rPr>
              <w:t>Total liabilities</w:t>
            </w: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4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5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0"/>
              </w:rPr>
              <w:t>4,509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u w:val="single" w:color="auto"/>
                <w:color w:val="auto"/>
                <w:w w:val="75"/>
              </w:rPr>
              <w:t>$</w:t>
            </w:r>
          </w:p>
        </w:tc>
        <w:tc>
          <w:tcPr>
            <w:tcW w:w="5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4,509</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3"/>
        </w:trPr>
        <w:tc>
          <w:tcPr>
            <w:tcW w:w="4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400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6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6" w:name="page17"/>
    <w:bookmarkEnd w:id="16"/>
    <w:p>
      <w:pPr>
        <w:ind w:right="22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2021 are summarized below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20" w:type="dxa"/>
            <w:vAlign w:val="bottom"/>
          </w:tcPr>
          <w:p>
            <w:pPr>
              <w:spacing w:after="0"/>
              <w:rPr>
                <w:sz w:val="22"/>
                <w:szCs w:val="22"/>
                <w:color w:val="auto"/>
              </w:rPr>
            </w:pPr>
          </w:p>
        </w:tc>
        <w:tc>
          <w:tcPr>
            <w:tcW w:w="1900" w:type="dxa"/>
            <w:vAlign w:val="bottom"/>
            <w:gridSpan w:val="5"/>
          </w:tcPr>
          <w:p>
            <w:pPr>
              <w:jc w:val="right"/>
              <w:ind w:right="280"/>
              <w:spacing w:after="0"/>
              <w:rPr>
                <w:sz w:val="20"/>
                <w:szCs w:val="20"/>
                <w:color w:val="auto"/>
              </w:rPr>
            </w:pPr>
            <w:r>
              <w:rPr>
                <w:rFonts w:ascii="Arial" w:cs="Arial" w:eastAsia="Arial" w:hAnsi="Arial"/>
                <w:sz w:val="22"/>
                <w:szCs w:val="22"/>
                <w:b w:val="1"/>
                <w:bCs w:val="1"/>
                <w:color w:val="auto"/>
              </w:rPr>
              <w:t>Level 1</w:t>
            </w:r>
          </w:p>
        </w:tc>
        <w:tc>
          <w:tcPr>
            <w:tcW w:w="28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Arial" w:cs="Arial" w:eastAsia="Arial" w:hAnsi="Arial"/>
                <w:sz w:val="22"/>
                <w:szCs w:val="22"/>
                <w:b w:val="1"/>
                <w:bCs w:val="1"/>
                <w:color w:val="auto"/>
              </w:rPr>
              <w:t>Level 2</w:t>
            </w:r>
          </w:p>
        </w:tc>
        <w:tc>
          <w:tcPr>
            <w:tcW w:w="1040" w:type="dxa"/>
            <w:vAlign w:val="bottom"/>
            <w:gridSpan w:val="5"/>
          </w:tcPr>
          <w:p>
            <w:pPr>
              <w:ind w:left="240"/>
              <w:spacing w:after="0"/>
              <w:rPr>
                <w:sz w:val="20"/>
                <w:szCs w:val="20"/>
                <w:color w:val="auto"/>
              </w:rPr>
            </w:pPr>
            <w:r>
              <w:rPr>
                <w:rFonts w:ascii="Arial" w:cs="Arial" w:eastAsia="Arial" w:hAnsi="Arial"/>
                <w:sz w:val="22"/>
                <w:szCs w:val="22"/>
                <w:b w:val="1"/>
                <w:bCs w:val="1"/>
                <w:color w:val="auto"/>
              </w:rPr>
              <w:t>Level 3</w:t>
            </w:r>
          </w:p>
        </w:tc>
        <w:tc>
          <w:tcPr>
            <w:tcW w:w="1220" w:type="dxa"/>
            <w:vAlign w:val="bottom"/>
            <w:gridSpan w:val="7"/>
          </w:tcPr>
          <w:p>
            <w:pPr>
              <w:ind w:left="160"/>
              <w:spacing w:after="0"/>
              <w:rPr>
                <w:sz w:val="20"/>
                <w:szCs w:val="20"/>
                <w:color w:val="auto"/>
              </w:rPr>
            </w:pPr>
            <w:r>
              <w:rPr>
                <w:rFonts w:ascii="Arial" w:cs="Arial" w:eastAsia="Arial" w:hAnsi="Arial"/>
                <w:sz w:val="22"/>
                <w:szCs w:val="22"/>
                <w:b w:val="1"/>
                <w:bCs w:val="1"/>
                <w:color w:val="auto"/>
                <w:w w:val="98"/>
              </w:rPr>
              <w:t>Fair Value</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Investment in cooperative (1)</w:t>
            </w:r>
          </w:p>
        </w:tc>
        <w:tc>
          <w:tcPr>
            <w:tcW w:w="1400" w:type="dxa"/>
            <w:vAlign w:val="bottom"/>
            <w:gridSpan w:val="3"/>
            <w:shd w:val="clear" w:color="auto" w:fill="E5FFFF"/>
          </w:tcPr>
          <w:p>
            <w:pPr>
              <w:jc w:val="right"/>
              <w:ind w:right="63"/>
              <w:spacing w:after="0" w:line="243" w:lineRule="exact"/>
              <w:rPr>
                <w:sz w:val="20"/>
                <w:szCs w:val="20"/>
                <w:color w:val="auto"/>
              </w:rPr>
            </w:pPr>
            <w:r>
              <w:rPr>
                <w:rFonts w:ascii="Arial" w:cs="Arial" w:eastAsia="Arial" w:hAnsi="Arial"/>
                <w:sz w:val="22"/>
                <w:szCs w:val="22"/>
                <w:color w:val="auto"/>
              </w:rPr>
              <w:t>$</w:t>
            </w:r>
          </w:p>
        </w:tc>
        <w:tc>
          <w:tcPr>
            <w:tcW w:w="50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420" w:type="dxa"/>
            <w:vAlign w:val="bottom"/>
            <w:gridSpan w:val="2"/>
            <w:shd w:val="clear" w:color="auto" w:fill="E5FFFF"/>
          </w:tcPr>
          <w:p>
            <w:pPr>
              <w:ind w:left="280"/>
              <w:spacing w:after="0" w:line="243" w:lineRule="exact"/>
              <w:rPr>
                <w:sz w:val="20"/>
                <w:szCs w:val="20"/>
                <w:color w:val="auto"/>
              </w:rPr>
            </w:pPr>
            <w:r>
              <w:rPr>
                <w:rFonts w:ascii="Arial" w:cs="Arial" w:eastAsia="Arial" w:hAnsi="Arial"/>
                <w:sz w:val="22"/>
                <w:szCs w:val="22"/>
                <w:color w:val="auto"/>
                <w:w w:val="97"/>
              </w:rPr>
              <w:t>$</w:t>
            </w:r>
          </w:p>
        </w:tc>
        <w:tc>
          <w:tcPr>
            <w:tcW w:w="5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7"/>
              </w:rPr>
              <w:t>354</w:t>
            </w:r>
          </w:p>
        </w:tc>
        <w:tc>
          <w:tcPr>
            <w:tcW w:w="140" w:type="dxa"/>
            <w:vAlign w:val="bottom"/>
            <w:shd w:val="clear" w:color="auto" w:fill="E5FFFF"/>
          </w:tcPr>
          <w:p>
            <w:pPr>
              <w:spacing w:after="0"/>
              <w:rPr>
                <w:sz w:val="21"/>
                <w:szCs w:val="21"/>
                <w:color w:val="auto"/>
              </w:rPr>
            </w:pPr>
          </w:p>
        </w:tc>
        <w:tc>
          <w:tcPr>
            <w:tcW w:w="620" w:type="dxa"/>
            <w:vAlign w:val="bottom"/>
            <w:gridSpan w:val="4"/>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2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00"/>
              <w:spacing w:after="0" w:line="243" w:lineRule="exact"/>
              <w:rPr>
                <w:sz w:val="20"/>
                <w:szCs w:val="20"/>
                <w:color w:val="auto"/>
              </w:rPr>
            </w:pPr>
            <w:r>
              <w:rPr>
                <w:rFonts w:ascii="Arial" w:cs="Arial" w:eastAsia="Arial" w:hAnsi="Arial"/>
                <w:sz w:val="22"/>
                <w:szCs w:val="22"/>
                <w:color w:val="auto"/>
              </w:rPr>
              <w:t>Forward purchase contracts asset (2)</w:t>
            </w: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0"/>
              </w:rPr>
              <w:t>2,144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87"/>
              </w:rPr>
              <w:t>2,144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20" w:type="dxa"/>
            <w:vAlign w:val="bottom"/>
            <w:tcBorders>
              <w:top w:val="single" w:sz="8" w:color="E5FFFF"/>
              <w:bottom w:val="single" w:sz="8" w:color="E5FFFF"/>
            </w:tcBorders>
            <w:shd w:val="clear" w:color="auto" w:fill="E5FFFF"/>
          </w:tcPr>
          <w:p>
            <w:pPr>
              <w:ind w:left="100"/>
              <w:spacing w:after="0" w:line="250" w:lineRule="exact"/>
              <w:rPr>
                <w:sz w:val="20"/>
                <w:szCs w:val="20"/>
                <w:color w:val="auto"/>
              </w:rPr>
            </w:pPr>
            <w:r>
              <w:rPr>
                <w:rFonts w:ascii="Arial" w:cs="Arial" w:eastAsia="Arial" w:hAnsi="Arial"/>
                <w:sz w:val="22"/>
                <w:szCs w:val="22"/>
                <w:color w:val="auto"/>
              </w:rPr>
              <w:t>Total assets</w:t>
            </w:r>
          </w:p>
        </w:tc>
        <w:tc>
          <w:tcPr>
            <w:tcW w:w="9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75"/>
              </w:rPr>
              <w:t>$</w:t>
            </w:r>
          </w:p>
        </w:tc>
        <w:tc>
          <w:tcPr>
            <w:tcW w:w="2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w w:val="97"/>
              </w:rPr>
              <w:t>$</w:t>
            </w:r>
          </w:p>
        </w:tc>
        <w:tc>
          <w:tcPr>
            <w:tcW w:w="5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0"/>
              </w:rPr>
              <w:t>2,144</w:t>
            </w: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3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7"/>
              </w:rPr>
              <w:t>354</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E5FFFF"/>
              <w:bottom w:val="single" w:sz="8" w:color="E5FFFF"/>
            </w:tcBorders>
            <w:gridSpan w:val="2"/>
            <w:shd w:val="clear" w:color="auto" w:fill="E5FFFF"/>
          </w:tcPr>
          <w:p>
            <w:pPr>
              <w:spacing w:after="0"/>
              <w:rPr>
                <w:sz w:val="21"/>
                <w:szCs w:val="21"/>
                <w:color w:val="auto"/>
              </w:rPr>
            </w:pPr>
          </w:p>
        </w:tc>
        <w:tc>
          <w:tcPr>
            <w:tcW w:w="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7"/>
              </w:rPr>
              <w:t>2,498</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100"/>
              <w:spacing w:after="0"/>
              <w:rPr>
                <w:sz w:val="20"/>
                <w:szCs w:val="20"/>
                <w:color w:val="auto"/>
              </w:rPr>
            </w:pPr>
            <w:r>
              <w:rPr>
                <w:rFonts w:ascii="Arial" w:cs="Arial" w:eastAsia="Arial" w:hAnsi="Arial"/>
                <w:sz w:val="22"/>
                <w:szCs w:val="22"/>
                <w:color w:val="auto"/>
              </w:rPr>
              <w:t>Commodity futures liability (3)</w:t>
            </w: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220" w:type="dxa"/>
            <w:vAlign w:val="bottom"/>
            <w:vMerge w:val="continue"/>
          </w:tcPr>
          <w:p>
            <w:pPr>
              <w:spacing w:after="0"/>
              <w:rPr>
                <w:sz w:val="24"/>
                <w:szCs w:val="24"/>
                <w:color w:val="auto"/>
              </w:rPr>
            </w:pPr>
          </w:p>
        </w:tc>
        <w:tc>
          <w:tcPr>
            <w:tcW w:w="1400" w:type="dxa"/>
            <w:vAlign w:val="bottom"/>
            <w:gridSpan w:val="3"/>
          </w:tcPr>
          <w:p>
            <w:pPr>
              <w:jc w:val="right"/>
              <w:ind w:right="63"/>
              <w:spacing w:after="0"/>
              <w:rPr>
                <w:sz w:val="20"/>
                <w:szCs w:val="20"/>
                <w:color w:val="auto"/>
              </w:rPr>
            </w:pPr>
            <w:r>
              <w:rPr>
                <w:rFonts w:ascii="Arial" w:cs="Arial" w:eastAsia="Arial" w:hAnsi="Arial"/>
                <w:sz w:val="22"/>
                <w:szCs w:val="22"/>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420" w:type="dxa"/>
            <w:vAlign w:val="bottom"/>
            <w:gridSpan w:val="2"/>
          </w:tcPr>
          <w:p>
            <w:pPr>
              <w:ind w:left="280"/>
              <w:spacing w:after="0"/>
              <w:rPr>
                <w:sz w:val="20"/>
                <w:szCs w:val="20"/>
                <w:color w:val="auto"/>
              </w:rPr>
            </w:pPr>
            <w:r>
              <w:rPr>
                <w:rFonts w:ascii="Arial" w:cs="Arial" w:eastAsia="Arial" w:hAnsi="Arial"/>
                <w:sz w:val="22"/>
                <w:szCs w:val="22"/>
                <w:color w:val="auto"/>
                <w:w w:val="97"/>
              </w:rPr>
              <w:t>$</w:t>
            </w:r>
          </w:p>
        </w:tc>
        <w:tc>
          <w:tcPr>
            <w:tcW w:w="520" w:type="dxa"/>
            <w:vAlign w:val="bottom"/>
          </w:tcPr>
          <w:p>
            <w:pPr>
              <w:jc w:val="right"/>
              <w:spacing w:after="0"/>
              <w:rPr>
                <w:sz w:val="20"/>
                <w:szCs w:val="20"/>
                <w:color w:val="auto"/>
              </w:rPr>
            </w:pPr>
            <w:r>
              <w:rPr>
                <w:rFonts w:ascii="Arial" w:cs="Arial" w:eastAsia="Arial" w:hAnsi="Arial"/>
                <w:sz w:val="22"/>
                <w:szCs w:val="22"/>
                <w:color w:val="auto"/>
                <w:w w:val="90"/>
              </w:rPr>
              <w:t>1,794</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22"/>
                <w:szCs w:val="22"/>
                <w:u w:val="single" w:color="auto"/>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22"/>
                <w:szCs w:val="22"/>
                <w:color w:val="auto"/>
                <w:w w:val="87"/>
              </w:rPr>
              <w:t>1,794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ind w:right="420" w:firstLine="656"/>
        <w:spacing w:after="0" w:line="230" w:lineRule="auto"/>
        <w:tabs>
          <w:tab w:leader="none" w:pos="954"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forward purchase contracts and commodity futures assets are included in “Prepaid expenses and other current assets” on the accompanying Consolidated Condensed Balance Sheets.</w:t>
      </w:r>
    </w:p>
    <w:p>
      <w:pPr>
        <w:spacing w:after="0" w:line="1" w:lineRule="exact"/>
        <w:rPr>
          <w:rFonts w:ascii="Arial" w:cs="Arial" w:eastAsia="Arial" w:hAnsi="Arial"/>
          <w:sz w:val="22"/>
          <w:szCs w:val="22"/>
          <w:color w:val="auto"/>
        </w:rPr>
      </w:pPr>
    </w:p>
    <w:p>
      <w:pPr>
        <w:ind w:right="200" w:firstLine="656"/>
        <w:spacing w:after="0" w:line="236" w:lineRule="auto"/>
        <w:tabs>
          <w:tab w:leader="none" w:pos="954"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commodity futures liability is included in “Accrued expenses and other current liabilities” on the accompanying Consolidated Condensed Balance Sheets.</w:t>
      </w:r>
    </w:p>
    <w:p>
      <w:pPr>
        <w:spacing w:after="0" w:line="214"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There were no assets measured at fair value on a non-recurring basis at October 31, 2021 or January 31, 2021.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00" w:type="dxa"/>
            <w:vAlign w:val="bottom"/>
          </w:tcPr>
          <w:p>
            <w:pPr>
              <w:spacing w:after="0"/>
              <w:rPr>
                <w:sz w:val="21"/>
                <w:szCs w:val="21"/>
                <w:color w:val="auto"/>
              </w:rPr>
            </w:pPr>
          </w:p>
        </w:tc>
        <w:tc>
          <w:tcPr>
            <w:tcW w:w="1800" w:type="dxa"/>
            <w:vAlign w:val="bottom"/>
            <w:gridSpan w:val="6"/>
          </w:tcPr>
          <w:p>
            <w:pPr>
              <w:jc w:val="right"/>
              <w:ind w:right="180"/>
              <w:spacing w:after="0"/>
              <w:rPr>
                <w:sz w:val="20"/>
                <w:szCs w:val="20"/>
                <w:color w:val="auto"/>
              </w:rPr>
            </w:pPr>
            <w:r>
              <w:rPr>
                <w:rFonts w:ascii="Arial" w:cs="Arial" w:eastAsia="Arial" w:hAnsi="Arial"/>
                <w:sz w:val="22"/>
                <w:szCs w:val="22"/>
                <w:b w:val="1"/>
                <w:bCs w:val="1"/>
                <w:color w:val="auto"/>
              </w:rPr>
              <w:t>October 31,</w:t>
            </w:r>
          </w:p>
        </w:tc>
        <w:tc>
          <w:tcPr>
            <w:tcW w:w="1800" w:type="dxa"/>
            <w:vAlign w:val="bottom"/>
            <w:gridSpan w:val="5"/>
          </w:tcPr>
          <w:p>
            <w:pPr>
              <w:jc w:val="center"/>
              <w:ind w:left="192"/>
              <w:spacing w:after="0"/>
              <w:rPr>
                <w:sz w:val="20"/>
                <w:szCs w:val="20"/>
                <w:color w:val="auto"/>
              </w:rPr>
            </w:pPr>
            <w:r>
              <w:rPr>
                <w:rFonts w:ascii="Arial" w:cs="Arial" w:eastAsia="Arial" w:hAnsi="Arial"/>
                <w:sz w:val="22"/>
                <w:szCs w:val="22"/>
                <w:b w:val="1"/>
                <w:bCs w:val="1"/>
                <w:color w:val="auto"/>
                <w:w w:val="90"/>
              </w:rPr>
              <w:t>January 31,</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1780" w:type="dxa"/>
            <w:vAlign w:val="bottom"/>
            <w:gridSpan w:val="5"/>
          </w:tcPr>
          <w:p>
            <w:pPr>
              <w:jc w:val="right"/>
              <w:ind w:right="440"/>
              <w:spacing w:after="0" w:line="230" w:lineRule="exact"/>
              <w:rPr>
                <w:sz w:val="20"/>
                <w:szCs w:val="20"/>
                <w:color w:val="auto"/>
              </w:rPr>
            </w:pPr>
            <w:r>
              <w:rPr>
                <w:rFonts w:ascii="Arial" w:cs="Arial" w:eastAsia="Arial" w:hAnsi="Arial"/>
                <w:sz w:val="22"/>
                <w:szCs w:val="22"/>
                <w:b w:val="1"/>
                <w:bCs w:val="1"/>
                <w:color w:val="auto"/>
              </w:rPr>
              <w:t>2021</w:t>
            </w:r>
          </w:p>
        </w:tc>
        <w:tc>
          <w:tcPr>
            <w:tcW w:w="20" w:type="dxa"/>
            <w:vAlign w:val="bottom"/>
          </w:tcPr>
          <w:p>
            <w:pPr>
              <w:spacing w:after="0"/>
              <w:rPr>
                <w:sz w:val="19"/>
                <w:szCs w:val="19"/>
                <w:color w:val="auto"/>
              </w:rPr>
            </w:pPr>
          </w:p>
        </w:tc>
        <w:tc>
          <w:tcPr>
            <w:tcW w:w="1280" w:type="dxa"/>
            <w:vAlign w:val="bottom"/>
            <w:gridSpan w:val="4"/>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5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Land and improvements</w:t>
            </w:r>
          </w:p>
        </w:tc>
        <w:tc>
          <w:tcPr>
            <w:tcW w:w="9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27,329</w:t>
            </w:r>
          </w:p>
        </w:tc>
        <w:tc>
          <w:tcPr>
            <w:tcW w:w="8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tcBorders>
              <w:right w:val="single" w:sz="8" w:color="E5FFFF"/>
            </w:tcBorders>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27,329</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line="243" w:lineRule="exact"/>
              <w:rPr>
                <w:sz w:val="20"/>
                <w:szCs w:val="20"/>
                <w:color w:val="auto"/>
              </w:rPr>
            </w:pPr>
            <w:r>
              <w:rPr>
                <w:rFonts w:ascii="Arial" w:cs="Arial" w:eastAsia="Arial" w:hAnsi="Arial"/>
                <w:sz w:val="22"/>
                <w:szCs w:val="22"/>
                <w:color w:val="auto"/>
              </w:rPr>
              <w:t>Buildings and improvements</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23,613</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23,613</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Machinery, equipment and fixtures</w:t>
            </w:r>
          </w:p>
        </w:tc>
        <w:tc>
          <w:tcPr>
            <w:tcW w:w="8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294,906</w:t>
            </w:r>
          </w:p>
        </w:tc>
        <w:tc>
          <w:tcPr>
            <w:tcW w:w="7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920" w:type="dxa"/>
            <w:vAlign w:val="bottom"/>
            <w:tcBorders>
              <w:right w:val="single" w:sz="8" w:color="E5FFFF"/>
            </w:tcBorders>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293,762</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line="243" w:lineRule="exact"/>
              <w:rPr>
                <w:sz w:val="20"/>
                <w:szCs w:val="20"/>
                <w:color w:val="auto"/>
              </w:rPr>
            </w:pPr>
            <w:r>
              <w:rPr>
                <w:rFonts w:ascii="Arial" w:cs="Arial" w:eastAsia="Arial" w:hAnsi="Arial"/>
                <w:sz w:val="22"/>
                <w:szCs w:val="22"/>
                <w:color w:val="auto"/>
              </w:rPr>
              <w:t>Construction in progress</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2,006</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215</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E5FFFF"/>
            </w:tcBorders>
            <w:shd w:val="clear" w:color="auto" w:fill="E5FFFF"/>
          </w:tcPr>
          <w:p>
            <w:pPr>
              <w:spacing w:after="0"/>
              <w:rPr>
                <w:sz w:val="20"/>
                <w:szCs w:val="20"/>
                <w:color w:val="auto"/>
              </w:rPr>
            </w:pPr>
          </w:p>
        </w:tc>
        <w:tc>
          <w:tcPr>
            <w:tcW w:w="840" w:type="dxa"/>
            <w:vAlign w:val="bottom"/>
            <w:tcBorders>
              <w:top w:val="single" w:sz="8" w:color="E5FFFF"/>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84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347,854</w:t>
            </w:r>
          </w:p>
        </w:tc>
        <w:tc>
          <w:tcPr>
            <w:tcW w:w="20" w:type="dxa"/>
            <w:vAlign w:val="bottom"/>
            <w:tcBorders>
              <w:top w:val="single" w:sz="8" w:color="E5FFFF"/>
            </w:tcBorders>
            <w:shd w:val="clear" w:color="auto" w:fill="E5FFFF"/>
          </w:tcPr>
          <w:p>
            <w:pPr>
              <w:spacing w:after="0"/>
              <w:rPr>
                <w:sz w:val="20"/>
                <w:szCs w:val="20"/>
                <w:color w:val="auto"/>
              </w:rPr>
            </w:pPr>
          </w:p>
        </w:tc>
        <w:tc>
          <w:tcPr>
            <w:tcW w:w="780" w:type="dxa"/>
            <w:vAlign w:val="bottom"/>
            <w:tcBorders>
              <w:top w:val="single" w:sz="8" w:color="E5FFFF"/>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920" w:type="dxa"/>
            <w:vAlign w:val="bottom"/>
            <w:tcBorders>
              <w:top w:val="single" w:sz="8" w:color="auto"/>
              <w:right w:val="single" w:sz="8" w:color="E5FFFF"/>
            </w:tcBorders>
            <w:gridSpan w:val="2"/>
            <w:shd w:val="clear" w:color="auto" w:fill="E5FFFF"/>
          </w:tcPr>
          <w:p>
            <w:pPr>
              <w:jc w:val="right"/>
              <w:ind w:right="60"/>
              <w:spacing w:after="0" w:line="237" w:lineRule="exact"/>
              <w:rPr>
                <w:sz w:val="20"/>
                <w:szCs w:val="20"/>
                <w:color w:val="auto"/>
              </w:rPr>
            </w:pPr>
            <w:r>
              <w:rPr>
                <w:rFonts w:ascii="Arial" w:cs="Arial" w:eastAsia="Arial" w:hAnsi="Arial"/>
                <w:sz w:val="22"/>
                <w:szCs w:val="22"/>
                <w:color w:val="auto"/>
              </w:rPr>
              <w:t>344,919</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line="243" w:lineRule="exact"/>
              <w:rPr>
                <w:sz w:val="20"/>
                <w:szCs w:val="20"/>
                <w:color w:val="auto"/>
              </w:rPr>
            </w:pPr>
            <w:r>
              <w:rPr>
                <w:rFonts w:ascii="Arial" w:cs="Arial" w:eastAsia="Arial" w:hAnsi="Arial"/>
                <w:sz w:val="22"/>
                <w:szCs w:val="22"/>
                <w:color w:val="auto"/>
              </w:rPr>
              <w:t>Less: accumulated depreciation</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w w:val="87"/>
              </w:rPr>
              <w:t>(206,649)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89"/>
              </w:rPr>
              <w:t>(194,058)</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E5FFFF"/>
              <w:bottom w:val="single" w:sz="8" w:color="E5FFFF"/>
            </w:tcBorders>
            <w:shd w:val="clear" w:color="auto" w:fill="E5FFFF"/>
          </w:tcPr>
          <w:p>
            <w:pPr>
              <w:ind w:left="120"/>
              <w:spacing w:after="0" w:line="250" w:lineRule="exact"/>
              <w:rPr>
                <w:sz w:val="20"/>
                <w:szCs w:val="20"/>
                <w:color w:val="auto"/>
              </w:rPr>
            </w:pPr>
            <w:r>
              <w:rPr>
                <w:rFonts w:ascii="Arial" w:cs="Arial" w:eastAsia="Arial" w:hAnsi="Arial"/>
                <w:sz w:val="22"/>
                <w:szCs w:val="22"/>
                <w:color w:val="auto"/>
              </w:rPr>
              <w:t>Total</w:t>
            </w:r>
          </w:p>
        </w:tc>
        <w:tc>
          <w:tcPr>
            <w:tcW w:w="84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rPr>
              <w:t>141,205</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78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right w:val="single" w:sz="8" w:color="E5FFFF"/>
            </w:tcBorders>
            <w:gridSpan w:val="2"/>
            <w:shd w:val="clear" w:color="auto" w:fill="E5FFFF"/>
          </w:tcPr>
          <w:p>
            <w:pPr>
              <w:jc w:val="right"/>
              <w:ind w:right="60"/>
              <w:spacing w:after="0" w:line="250" w:lineRule="exact"/>
              <w:rPr>
                <w:sz w:val="20"/>
                <w:szCs w:val="20"/>
                <w:color w:val="auto"/>
              </w:rPr>
            </w:pPr>
            <w:r>
              <w:rPr>
                <w:rFonts w:ascii="Arial" w:cs="Arial" w:eastAsia="Arial" w:hAnsi="Arial"/>
                <w:sz w:val="22"/>
                <w:szCs w:val="22"/>
                <w:color w:val="auto"/>
              </w:rPr>
              <w:t>150,861</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restart"/>
          </w:tcPr>
          <w:p>
            <w:pPr>
              <w:jc w:val="right"/>
              <w:ind w:right="432"/>
              <w:spacing w:after="0"/>
              <w:rPr>
                <w:sz w:val="20"/>
                <w:szCs w:val="20"/>
                <w:color w:val="auto"/>
              </w:rPr>
            </w:pPr>
            <w:r>
              <w:rPr>
                <w:rFonts w:ascii="Arial" w:cs="Arial" w:eastAsia="Arial" w:hAnsi="Arial"/>
                <w:sz w:val="22"/>
                <w:szCs w:val="22"/>
                <w:color w:val="auto"/>
                <w:w w:val="89"/>
              </w:rPr>
              <w:t>17</w:t>
            </w: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0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39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1780" w:type="dxa"/>
            <w:vAlign w:val="bottom"/>
            <w:gridSpan w:val="5"/>
          </w:tcPr>
          <w:p>
            <w:pPr>
              <w:jc w:val="right"/>
              <w:spacing w:after="0"/>
              <w:rPr>
                <w:sz w:val="20"/>
                <w:szCs w:val="20"/>
                <w:color w:val="auto"/>
              </w:rPr>
            </w:pPr>
            <w:r>
              <w:rPr>
                <w:rFonts w:ascii="Arial" w:cs="Arial" w:eastAsia="Arial" w:hAnsi="Arial"/>
                <w:sz w:val="22"/>
                <w:szCs w:val="22"/>
                <w:b w:val="1"/>
                <w:bCs w:val="1"/>
                <w:color w:val="auto"/>
              </w:rPr>
              <w:t>October 31,</w:t>
            </w:r>
          </w:p>
        </w:tc>
        <w:tc>
          <w:tcPr>
            <w:tcW w:w="1560" w:type="dxa"/>
            <w:vAlign w:val="bottom"/>
            <w:gridSpan w:val="6"/>
          </w:tcPr>
          <w:p>
            <w:pPr>
              <w:ind w:left="400"/>
              <w:spacing w:after="0"/>
              <w:rPr>
                <w:sz w:val="20"/>
                <w:szCs w:val="20"/>
                <w:color w:val="auto"/>
              </w:rPr>
            </w:pPr>
            <w:r>
              <w:rPr>
                <w:rFonts w:ascii="Arial" w:cs="Arial" w:eastAsia="Arial" w:hAnsi="Arial"/>
                <w:sz w:val="22"/>
                <w:szCs w:val="22"/>
                <w:b w:val="1"/>
                <w:bCs w:val="1"/>
                <w:color w:val="auto"/>
                <w:w w:val="94"/>
              </w:rPr>
              <w:t>January 31,</w:t>
            </w:r>
          </w:p>
        </w:tc>
      </w:tr>
      <w:tr>
        <w:trPr>
          <w:trHeight w:val="230"/>
        </w:trPr>
        <w:tc>
          <w:tcPr>
            <w:tcW w:w="3960" w:type="dxa"/>
            <w:vAlign w:val="bottom"/>
          </w:tcPr>
          <w:p>
            <w:pPr>
              <w:spacing w:after="0"/>
              <w:rPr>
                <w:sz w:val="19"/>
                <w:szCs w:val="19"/>
                <w:color w:val="auto"/>
              </w:rPr>
            </w:pPr>
          </w:p>
        </w:tc>
        <w:tc>
          <w:tcPr>
            <w:tcW w:w="1780" w:type="dxa"/>
            <w:vAlign w:val="bottom"/>
            <w:gridSpan w:val="5"/>
          </w:tcPr>
          <w:p>
            <w:pPr>
              <w:jc w:val="right"/>
              <w:ind w:right="320"/>
              <w:spacing w:after="0" w:line="230" w:lineRule="exact"/>
              <w:rPr>
                <w:sz w:val="20"/>
                <w:szCs w:val="20"/>
                <w:color w:val="auto"/>
              </w:rPr>
            </w:pPr>
            <w:r>
              <w:rPr>
                <w:rFonts w:ascii="Arial" w:cs="Arial" w:eastAsia="Arial" w:hAnsi="Arial"/>
                <w:sz w:val="22"/>
                <w:szCs w:val="22"/>
                <w:b w:val="1"/>
                <w:bCs w:val="1"/>
                <w:color w:val="auto"/>
              </w:rPr>
              <w:t>2021</w:t>
            </w:r>
          </w:p>
        </w:tc>
        <w:tc>
          <w:tcPr>
            <w:tcW w:w="1500" w:type="dxa"/>
            <w:vAlign w:val="bottom"/>
            <w:gridSpan w:val="5"/>
          </w:tcPr>
          <w:p>
            <w:pPr>
              <w:jc w:val="right"/>
              <w:ind w:right="340"/>
              <w:spacing w:after="0" w:line="230" w:lineRule="exact"/>
              <w:rPr>
                <w:sz w:val="20"/>
                <w:szCs w:val="20"/>
                <w:color w:val="auto"/>
              </w:rPr>
            </w:pPr>
            <w:r>
              <w:rPr>
                <w:rFonts w:ascii="Arial" w:cs="Arial" w:eastAsia="Arial" w:hAnsi="Arial"/>
                <w:sz w:val="22"/>
                <w:szCs w:val="22"/>
                <w:b w:val="1"/>
                <w:bCs w:val="1"/>
                <w:color w:val="auto"/>
              </w:rPr>
              <w:t>2021</w:t>
            </w:r>
          </w:p>
        </w:tc>
        <w:tc>
          <w:tcPr>
            <w:tcW w:w="60" w:type="dxa"/>
            <w:vAlign w:val="bottom"/>
          </w:tcPr>
          <w:p>
            <w:pPr>
              <w:spacing w:after="0"/>
              <w:rPr>
                <w:sz w:val="19"/>
                <w:szCs w:val="19"/>
                <w:color w:val="auto"/>
              </w:rPr>
            </w:pPr>
          </w:p>
        </w:tc>
      </w:tr>
      <w:tr>
        <w:trPr>
          <w:trHeight w:val="263"/>
        </w:trPr>
        <w:tc>
          <w:tcPr>
            <w:tcW w:w="3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9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Accrued payroll and related items</w:t>
            </w:r>
          </w:p>
        </w:tc>
        <w:tc>
          <w:tcPr>
            <w:tcW w:w="12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3,727</w:t>
            </w:r>
          </w:p>
        </w:tc>
        <w:tc>
          <w:tcPr>
            <w:tcW w:w="9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690</w:t>
            </w:r>
          </w:p>
        </w:tc>
        <w:tc>
          <w:tcPr>
            <w:tcW w:w="60" w:type="dxa"/>
            <w:vAlign w:val="bottom"/>
            <w:shd w:val="clear" w:color="auto" w:fill="E5FFFF"/>
          </w:tcPr>
          <w:p>
            <w:pPr>
              <w:spacing w:after="0"/>
              <w:rPr>
                <w:sz w:val="21"/>
                <w:szCs w:val="21"/>
                <w:color w:val="auto"/>
              </w:rPr>
            </w:pPr>
          </w:p>
        </w:tc>
      </w:tr>
      <w:tr>
        <w:trPr>
          <w:trHeight w:val="243"/>
        </w:trPr>
        <w:tc>
          <w:tcPr>
            <w:tcW w:w="3960" w:type="dxa"/>
            <w:vAlign w:val="bottom"/>
          </w:tcPr>
          <w:p>
            <w:pPr>
              <w:ind w:left="120"/>
              <w:spacing w:after="0" w:line="243" w:lineRule="exact"/>
              <w:rPr>
                <w:sz w:val="20"/>
                <w:szCs w:val="20"/>
                <w:color w:val="auto"/>
              </w:rPr>
            </w:pPr>
            <w:r>
              <w:rPr>
                <w:rFonts w:ascii="Arial" w:cs="Arial" w:eastAsia="Arial" w:hAnsi="Arial"/>
                <w:sz w:val="22"/>
                <w:szCs w:val="22"/>
                <w:color w:val="auto"/>
              </w:rPr>
              <w:t>Accrued utility charges</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3,473</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4"/>
              </w:rPr>
              <w:t>2,515</w:t>
            </w:r>
          </w:p>
        </w:tc>
        <w:tc>
          <w:tcPr>
            <w:tcW w:w="60" w:type="dxa"/>
            <w:vAlign w:val="bottom"/>
          </w:tcPr>
          <w:p>
            <w:pPr>
              <w:spacing w:after="0"/>
              <w:rPr>
                <w:sz w:val="21"/>
                <w:szCs w:val="21"/>
                <w:color w:val="auto"/>
              </w:rPr>
            </w:pPr>
          </w:p>
        </w:tc>
      </w:tr>
      <w:tr>
        <w:trPr>
          <w:trHeight w:val="243"/>
        </w:trPr>
        <w:tc>
          <w:tcPr>
            <w:tcW w:w="39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Accrued transportation related items</w:t>
            </w:r>
          </w:p>
        </w:tc>
        <w:tc>
          <w:tcPr>
            <w:tcW w:w="10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578</w:t>
            </w:r>
          </w:p>
        </w:tc>
        <w:tc>
          <w:tcPr>
            <w:tcW w:w="7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1,560</w:t>
            </w:r>
          </w:p>
        </w:tc>
        <w:tc>
          <w:tcPr>
            <w:tcW w:w="60" w:type="dxa"/>
            <w:vAlign w:val="bottom"/>
            <w:shd w:val="clear" w:color="auto" w:fill="E5FFFF"/>
          </w:tcPr>
          <w:p>
            <w:pPr>
              <w:spacing w:after="0"/>
              <w:rPr>
                <w:sz w:val="21"/>
                <w:szCs w:val="21"/>
                <w:color w:val="auto"/>
              </w:rPr>
            </w:pPr>
          </w:p>
        </w:tc>
      </w:tr>
      <w:tr>
        <w:trPr>
          <w:trHeight w:val="243"/>
        </w:trPr>
        <w:tc>
          <w:tcPr>
            <w:tcW w:w="3960" w:type="dxa"/>
            <w:vAlign w:val="bottom"/>
          </w:tcPr>
          <w:p>
            <w:pPr>
              <w:ind w:left="120"/>
              <w:spacing w:after="0" w:line="243" w:lineRule="exact"/>
              <w:rPr>
                <w:sz w:val="20"/>
                <w:szCs w:val="20"/>
                <w:color w:val="auto"/>
              </w:rPr>
            </w:pPr>
            <w:r>
              <w:rPr>
                <w:rFonts w:ascii="Arial" w:cs="Arial" w:eastAsia="Arial" w:hAnsi="Arial"/>
                <w:sz w:val="22"/>
                <w:szCs w:val="22"/>
                <w:color w:val="auto"/>
              </w:rPr>
              <w:t>Accrued real estate taxes</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1,419</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4"/>
              </w:rPr>
              <w:t>1,778</w:t>
            </w:r>
          </w:p>
        </w:tc>
        <w:tc>
          <w:tcPr>
            <w:tcW w:w="60" w:type="dxa"/>
            <w:vAlign w:val="bottom"/>
          </w:tcPr>
          <w:p>
            <w:pPr>
              <w:spacing w:after="0"/>
              <w:rPr>
                <w:sz w:val="21"/>
                <w:szCs w:val="21"/>
                <w:color w:val="auto"/>
              </w:rPr>
            </w:pPr>
          </w:p>
        </w:tc>
      </w:tr>
      <w:tr>
        <w:trPr>
          <w:trHeight w:val="243"/>
        </w:trPr>
        <w:tc>
          <w:tcPr>
            <w:tcW w:w="39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Commodity futures</w:t>
            </w:r>
          </w:p>
        </w:tc>
        <w:tc>
          <w:tcPr>
            <w:tcW w:w="10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3,822</w:t>
            </w:r>
          </w:p>
        </w:tc>
        <w:tc>
          <w:tcPr>
            <w:tcW w:w="7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94"/>
              </w:rPr>
              <w:t>1,794</w:t>
            </w:r>
          </w:p>
        </w:tc>
        <w:tc>
          <w:tcPr>
            <w:tcW w:w="60" w:type="dxa"/>
            <w:vAlign w:val="bottom"/>
            <w:shd w:val="clear" w:color="auto" w:fill="E5FFFF"/>
          </w:tcPr>
          <w:p>
            <w:pPr>
              <w:spacing w:after="0"/>
              <w:rPr>
                <w:sz w:val="21"/>
                <w:szCs w:val="21"/>
                <w:color w:val="auto"/>
              </w:rPr>
            </w:pPr>
          </w:p>
        </w:tc>
      </w:tr>
      <w:tr>
        <w:trPr>
          <w:trHeight w:val="243"/>
        </w:trPr>
        <w:tc>
          <w:tcPr>
            <w:tcW w:w="3960" w:type="dxa"/>
            <w:vAlign w:val="bottom"/>
          </w:tcPr>
          <w:p>
            <w:pPr>
              <w:ind w:left="120"/>
              <w:spacing w:after="0" w:line="243" w:lineRule="exact"/>
              <w:rPr>
                <w:sz w:val="20"/>
                <w:szCs w:val="20"/>
                <w:color w:val="auto"/>
              </w:rPr>
            </w:pPr>
            <w:r>
              <w:rPr>
                <w:rFonts w:ascii="Arial" w:cs="Arial" w:eastAsia="Arial" w:hAnsi="Arial"/>
                <w:sz w:val="22"/>
                <w:szCs w:val="22"/>
                <w:color w:val="auto"/>
              </w:rPr>
              <w:t>Forward purchase contracts</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687</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60" w:type="dxa"/>
            <w:vAlign w:val="bottom"/>
          </w:tcPr>
          <w:p>
            <w:pPr>
              <w:spacing w:after="0"/>
              <w:rPr>
                <w:sz w:val="21"/>
                <w:szCs w:val="21"/>
                <w:color w:val="auto"/>
              </w:rPr>
            </w:pPr>
          </w:p>
        </w:tc>
      </w:tr>
      <w:tr>
        <w:trPr>
          <w:trHeight w:val="243"/>
        </w:trPr>
        <w:tc>
          <w:tcPr>
            <w:tcW w:w="3960" w:type="dxa"/>
            <w:vAlign w:val="bottom"/>
            <w:shd w:val="clear" w:color="auto" w:fill="E5FFFF"/>
          </w:tcPr>
          <w:p>
            <w:pPr>
              <w:ind w:left="120"/>
              <w:spacing w:after="0" w:line="243" w:lineRule="exact"/>
              <w:rPr>
                <w:sz w:val="20"/>
                <w:szCs w:val="20"/>
                <w:color w:val="auto"/>
              </w:rPr>
            </w:pPr>
            <w:r>
              <w:rPr>
                <w:rFonts w:ascii="Arial" w:cs="Arial" w:eastAsia="Arial" w:hAnsi="Arial"/>
                <w:sz w:val="22"/>
                <w:szCs w:val="22"/>
                <w:color w:val="auto"/>
              </w:rPr>
              <w:t>Accrued income taxes</w:t>
            </w:r>
          </w:p>
        </w:tc>
        <w:tc>
          <w:tcPr>
            <w:tcW w:w="10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62</w:t>
            </w:r>
          </w:p>
        </w:tc>
        <w:tc>
          <w:tcPr>
            <w:tcW w:w="7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55</w:t>
            </w:r>
          </w:p>
        </w:tc>
        <w:tc>
          <w:tcPr>
            <w:tcW w:w="60" w:type="dxa"/>
            <w:vAlign w:val="bottom"/>
            <w:shd w:val="clear" w:color="auto" w:fill="E5FFFF"/>
          </w:tcPr>
          <w:p>
            <w:pPr>
              <w:spacing w:after="0"/>
              <w:rPr>
                <w:sz w:val="21"/>
                <w:szCs w:val="21"/>
                <w:color w:val="auto"/>
              </w:rPr>
            </w:pPr>
          </w:p>
        </w:tc>
      </w:tr>
      <w:tr>
        <w:trPr>
          <w:trHeight w:val="243"/>
        </w:trPr>
        <w:tc>
          <w:tcPr>
            <w:tcW w:w="3960" w:type="dxa"/>
            <w:vAlign w:val="bottom"/>
            <w:tcBorders>
              <w:bottom w:val="single" w:sz="8" w:color="E5FFFF"/>
            </w:tcBorders>
          </w:tcPr>
          <w:p>
            <w:pPr>
              <w:ind w:left="120"/>
              <w:spacing w:after="0" w:line="243" w:lineRule="exact"/>
              <w:rPr>
                <w:sz w:val="20"/>
                <w:szCs w:val="20"/>
                <w:color w:val="auto"/>
              </w:rPr>
            </w:pPr>
            <w:r>
              <w:rPr>
                <w:rFonts w:ascii="Arial" w:cs="Arial" w:eastAsia="Arial" w:hAnsi="Arial"/>
                <w:sz w:val="22"/>
                <w:szCs w:val="22"/>
                <w:color w:val="auto"/>
              </w:rPr>
              <w:t>Other</w:t>
            </w:r>
          </w:p>
        </w:tc>
        <w:tc>
          <w:tcPr>
            <w:tcW w:w="1020" w:type="dxa"/>
            <w:vAlign w:val="bottom"/>
            <w:tcBorders>
              <w:bottom w:val="single" w:sz="8" w:color="E5FFFF"/>
            </w:tcBorders>
          </w:tcPr>
          <w:p>
            <w:pPr>
              <w:spacing w:after="0"/>
              <w:rPr>
                <w:sz w:val="21"/>
                <w:szCs w:val="21"/>
                <w:color w:val="auto"/>
              </w:rPr>
            </w:pPr>
          </w:p>
        </w:tc>
        <w:tc>
          <w:tcPr>
            <w:tcW w:w="60" w:type="dxa"/>
            <w:vAlign w:val="bottom"/>
            <w:tcBorders>
              <w:bottom w:val="single" w:sz="8" w:color="E5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353</w:t>
            </w:r>
          </w:p>
        </w:tc>
        <w:tc>
          <w:tcPr>
            <w:tcW w:w="720" w:type="dxa"/>
            <w:vAlign w:val="bottom"/>
            <w:tcBorders>
              <w:bottom w:val="single" w:sz="8" w:color="E5FFFF"/>
            </w:tcBorders>
          </w:tcPr>
          <w:p>
            <w:pPr>
              <w:spacing w:after="0"/>
              <w:rPr>
                <w:sz w:val="21"/>
                <w:szCs w:val="21"/>
                <w:color w:val="auto"/>
              </w:rPr>
            </w:pPr>
          </w:p>
        </w:tc>
        <w:tc>
          <w:tcPr>
            <w:tcW w:w="60" w:type="dxa"/>
            <w:vAlign w:val="bottom"/>
            <w:tcBorders>
              <w:bottom w:val="single" w:sz="8" w:color="E5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362</w:t>
            </w:r>
          </w:p>
        </w:tc>
        <w:tc>
          <w:tcPr>
            <w:tcW w:w="60" w:type="dxa"/>
            <w:vAlign w:val="bottom"/>
            <w:tcBorders>
              <w:bottom w:val="single" w:sz="8" w:color="E5FFFF"/>
            </w:tcBorders>
          </w:tcPr>
          <w:p>
            <w:pPr>
              <w:spacing w:after="0"/>
              <w:rPr>
                <w:sz w:val="21"/>
                <w:szCs w:val="21"/>
                <w:color w:val="auto"/>
              </w:rPr>
            </w:pPr>
          </w:p>
        </w:tc>
      </w:tr>
      <w:tr>
        <w:trPr>
          <w:trHeight w:val="250"/>
        </w:trPr>
        <w:tc>
          <w:tcPr>
            <w:tcW w:w="3960" w:type="dxa"/>
            <w:vAlign w:val="bottom"/>
            <w:tcBorders>
              <w:bottom w:val="single" w:sz="8" w:color="E5FFFF"/>
            </w:tcBorders>
            <w:shd w:val="clear" w:color="auto" w:fill="E5FFFF"/>
          </w:tcPr>
          <w:p>
            <w:pPr>
              <w:ind w:left="120"/>
              <w:spacing w:after="0" w:line="250" w:lineRule="exact"/>
              <w:rPr>
                <w:sz w:val="20"/>
                <w:szCs w:val="20"/>
                <w:color w:val="auto"/>
              </w:rPr>
            </w:pPr>
            <w:r>
              <w:rPr>
                <w:rFonts w:ascii="Arial" w:cs="Arial" w:eastAsia="Arial" w:hAnsi="Arial"/>
                <w:sz w:val="22"/>
                <w:szCs w:val="22"/>
                <w:color w:val="auto"/>
              </w:rPr>
              <w:t>Total</w:t>
            </w:r>
          </w:p>
        </w:tc>
        <w:tc>
          <w:tcPr>
            <w:tcW w:w="1020" w:type="dxa"/>
            <w:vAlign w:val="bottom"/>
            <w:tcBorders>
              <w:bottom w:val="single" w:sz="8" w:color="E5FFFF"/>
            </w:tcBorders>
            <w:shd w:val="clear" w:color="auto" w:fill="E5FFFF"/>
          </w:tcPr>
          <w:p>
            <w:pPr>
              <w:spacing w:after="0"/>
              <w:rPr>
                <w:sz w:val="21"/>
                <w:szCs w:val="21"/>
                <w:color w:val="auto"/>
              </w:rPr>
            </w:pPr>
          </w:p>
        </w:tc>
        <w:tc>
          <w:tcPr>
            <w:tcW w:w="6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u w:val="single" w:color="auto"/>
                <w:color w:val="auto"/>
                <w:w w:val="81"/>
              </w:rPr>
              <w:t>$</w:t>
            </w:r>
          </w:p>
        </w:tc>
        <w:tc>
          <w:tcPr>
            <w:tcW w:w="580" w:type="dxa"/>
            <w:vAlign w:val="bottom"/>
            <w:tcBorders>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w w:val="83"/>
              </w:rPr>
              <w:t>14,121</w:t>
            </w:r>
          </w:p>
        </w:tc>
        <w:tc>
          <w:tcPr>
            <w:tcW w:w="720" w:type="dxa"/>
            <w:vAlign w:val="bottom"/>
            <w:tcBorders>
              <w:bottom w:val="single" w:sz="8" w:color="E5FFFF"/>
            </w:tcBorders>
            <w:shd w:val="clear" w:color="auto" w:fill="E5FFFF"/>
          </w:tcPr>
          <w:p>
            <w:pPr>
              <w:spacing w:after="0"/>
              <w:rPr>
                <w:sz w:val="21"/>
                <w:szCs w:val="21"/>
                <w:color w:val="auto"/>
              </w:rPr>
            </w:pPr>
          </w:p>
        </w:tc>
        <w:tc>
          <w:tcPr>
            <w:tcW w:w="60" w:type="dxa"/>
            <w:vAlign w:val="bottom"/>
            <w:tcBorders>
              <w:bottom w:val="single" w:sz="8" w:color="E5FFFF"/>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540" w:type="dxa"/>
            <w:vAlign w:val="bottom"/>
            <w:tcBorders>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w w:val="94"/>
              </w:rPr>
              <w:t>8,754</w:t>
            </w:r>
          </w:p>
        </w:tc>
        <w:tc>
          <w:tcPr>
            <w:tcW w:w="60" w:type="dxa"/>
            <w:vAlign w:val="bottom"/>
            <w:tcBorders>
              <w:bottom w:val="single" w:sz="8" w:color="E5FFFF"/>
            </w:tcBorders>
            <w:shd w:val="clear" w:color="auto" w:fill="E5FFFF"/>
          </w:tcPr>
          <w:p>
            <w:pPr>
              <w:spacing w:after="0"/>
              <w:rPr>
                <w:sz w:val="21"/>
                <w:szCs w:val="2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80" w:type="dxa"/>
            <w:vAlign w:val="bottom"/>
            <w:gridSpan w:val="8"/>
          </w:tcPr>
          <w:p>
            <w:pPr>
              <w:ind w:left="280"/>
              <w:spacing w:after="0"/>
              <w:rPr>
                <w:sz w:val="20"/>
                <w:szCs w:val="20"/>
                <w:color w:val="auto"/>
              </w:rPr>
            </w:pPr>
            <w:r>
              <w:rPr>
                <w:rFonts w:ascii="Arial" w:cs="Arial" w:eastAsia="Arial" w:hAnsi="Arial"/>
                <w:sz w:val="22"/>
                <w:szCs w:val="22"/>
                <w:b w:val="1"/>
                <w:bCs w:val="1"/>
                <w:color w:val="auto"/>
              </w:rPr>
              <w:t>Asset Derivatives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7"/>
          </w:tcPr>
          <w:p>
            <w:pPr>
              <w:ind w:left="100"/>
              <w:spacing w:after="0"/>
              <w:rPr>
                <w:sz w:val="20"/>
                <w:szCs w:val="20"/>
                <w:color w:val="auto"/>
              </w:rPr>
            </w:pPr>
            <w:r>
              <w:rPr>
                <w:rFonts w:ascii="Arial" w:cs="Arial" w:eastAsia="Arial" w:hAnsi="Arial"/>
                <w:sz w:val="22"/>
                <w:szCs w:val="22"/>
                <w:b w:val="1"/>
                <w:bCs w:val="1"/>
                <w:color w:val="auto"/>
              </w:rPr>
              <w:t>Liability Derivatives</w:t>
            </w:r>
          </w:p>
        </w:tc>
      </w:tr>
      <w:tr>
        <w:trPr>
          <w:trHeight w:val="24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rPr>
              <w:t>Fair Value</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3"/>
          </w:tcPr>
          <w:p>
            <w:pPr>
              <w:jc w:val="right"/>
              <w:ind w:right="12"/>
              <w:spacing w:after="0" w:line="243" w:lineRule="exact"/>
              <w:rPr>
                <w:sz w:val="20"/>
                <w:szCs w:val="20"/>
                <w:color w:val="auto"/>
              </w:rPr>
            </w:pPr>
            <w:r>
              <w:rPr>
                <w:rFonts w:ascii="Arial" w:cs="Arial" w:eastAsia="Arial" w:hAnsi="Arial"/>
                <w:sz w:val="22"/>
                <w:szCs w:val="22"/>
                <w:b w:val="1"/>
                <w:bCs w:val="1"/>
                <w:color w:val="auto"/>
              </w:rPr>
              <w:t>Fair Value</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260" w:type="dxa"/>
            <w:vAlign w:val="bottom"/>
            <w:gridSpan w:val="3"/>
          </w:tcPr>
          <w:p>
            <w:pPr>
              <w:jc w:val="right"/>
              <w:ind w:right="12"/>
              <w:spacing w:after="0" w:line="243" w:lineRule="exact"/>
              <w:rPr>
                <w:sz w:val="20"/>
                <w:szCs w:val="20"/>
                <w:color w:val="auto"/>
              </w:rPr>
            </w:pPr>
            <w:r>
              <w:rPr>
                <w:rFonts w:ascii="Arial" w:cs="Arial" w:eastAsia="Arial" w:hAnsi="Arial"/>
                <w:sz w:val="22"/>
                <w:szCs w:val="22"/>
                <w:b w:val="1"/>
                <w:bCs w:val="1"/>
                <w:color w:val="auto"/>
                <w:w w:val="92"/>
              </w:rPr>
              <w:t>October 31,</w:t>
            </w:r>
          </w:p>
        </w:tc>
        <w:tc>
          <w:tcPr>
            <w:tcW w:w="460" w:type="dxa"/>
            <w:vAlign w:val="bottom"/>
          </w:tcPr>
          <w:p>
            <w:pPr>
              <w:spacing w:after="0"/>
              <w:rPr>
                <w:sz w:val="21"/>
                <w:szCs w:val="21"/>
                <w:color w:val="auto"/>
              </w:rPr>
            </w:pPr>
          </w:p>
        </w:tc>
        <w:tc>
          <w:tcPr>
            <w:tcW w:w="1680" w:type="dxa"/>
            <w:vAlign w:val="bottom"/>
            <w:gridSpan w:val="5"/>
          </w:tcPr>
          <w:p>
            <w:pPr>
              <w:jc w:val="center"/>
              <w:ind w:right="440"/>
              <w:spacing w:after="0" w:line="243" w:lineRule="exact"/>
              <w:rPr>
                <w:sz w:val="20"/>
                <w:szCs w:val="20"/>
                <w:color w:val="auto"/>
              </w:rPr>
            </w:pPr>
            <w:r>
              <w:rPr>
                <w:rFonts w:ascii="Arial" w:cs="Arial" w:eastAsia="Arial" w:hAnsi="Arial"/>
                <w:sz w:val="22"/>
                <w:szCs w:val="22"/>
                <w:b w:val="1"/>
                <w:bCs w:val="1"/>
                <w:color w:val="auto"/>
                <w:w w:val="89"/>
              </w:rPr>
              <w:t>January 31,</w:t>
            </w:r>
          </w:p>
        </w:tc>
        <w:tc>
          <w:tcPr>
            <w:tcW w:w="1240" w:type="dxa"/>
            <w:vAlign w:val="bottom"/>
            <w:gridSpan w:val="4"/>
          </w:tcPr>
          <w:p>
            <w:pPr>
              <w:jc w:val="center"/>
              <w:spacing w:after="0" w:line="243" w:lineRule="exact"/>
              <w:rPr>
                <w:sz w:val="20"/>
                <w:szCs w:val="20"/>
                <w:color w:val="auto"/>
              </w:rPr>
            </w:pPr>
            <w:r>
              <w:rPr>
                <w:rFonts w:ascii="Arial" w:cs="Arial" w:eastAsia="Arial" w:hAnsi="Arial"/>
                <w:sz w:val="22"/>
                <w:szCs w:val="22"/>
                <w:b w:val="1"/>
                <w:bCs w:val="1"/>
                <w:color w:val="auto"/>
                <w:w w:val="89"/>
              </w:rPr>
              <w:t>October 31,</w:t>
            </w:r>
          </w:p>
        </w:tc>
        <w:tc>
          <w:tcPr>
            <w:tcW w:w="420" w:type="dxa"/>
            <w:vAlign w:val="bottom"/>
          </w:tcPr>
          <w:p>
            <w:pPr>
              <w:spacing w:after="0"/>
              <w:rPr>
                <w:sz w:val="21"/>
                <w:szCs w:val="21"/>
                <w:color w:val="auto"/>
              </w:rPr>
            </w:pPr>
          </w:p>
        </w:tc>
        <w:tc>
          <w:tcPr>
            <w:tcW w:w="1340" w:type="dxa"/>
            <w:vAlign w:val="bottom"/>
            <w:gridSpan w:val="4"/>
          </w:tcPr>
          <w:p>
            <w:pPr>
              <w:ind w:left="80"/>
              <w:spacing w:after="0" w:line="243" w:lineRule="exact"/>
              <w:rPr>
                <w:sz w:val="20"/>
                <w:szCs w:val="20"/>
                <w:color w:val="auto"/>
              </w:rPr>
            </w:pPr>
            <w:r>
              <w:rPr>
                <w:rFonts w:ascii="Arial" w:cs="Arial" w:eastAsia="Arial" w:hAnsi="Arial"/>
                <w:sz w:val="22"/>
                <w:szCs w:val="22"/>
                <w:b w:val="1"/>
                <w:bCs w:val="1"/>
                <w:color w:val="auto"/>
              </w:rPr>
              <w:t>January 31,</w:t>
            </w:r>
          </w:p>
        </w:tc>
      </w:tr>
      <w:tr>
        <w:trPr>
          <w:trHeight w:val="230"/>
        </w:trPr>
        <w:tc>
          <w:tcPr>
            <w:tcW w:w="4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312"/>
              <w:spacing w:after="0" w:line="230" w:lineRule="exact"/>
              <w:rPr>
                <w:sz w:val="20"/>
                <w:szCs w:val="20"/>
                <w:color w:val="auto"/>
              </w:rPr>
            </w:pPr>
            <w:r>
              <w:rPr>
                <w:rFonts w:ascii="Arial" w:cs="Arial" w:eastAsia="Arial" w:hAnsi="Arial"/>
                <w:sz w:val="22"/>
                <w:szCs w:val="22"/>
                <w:b w:val="1"/>
                <w:bCs w:val="1"/>
                <w:color w:val="auto"/>
                <w:w w:val="81"/>
              </w:rPr>
              <w:t>2021</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0"/>
              <w:spacing w:after="0" w:line="230" w:lineRule="exact"/>
              <w:rPr>
                <w:sz w:val="20"/>
                <w:szCs w:val="20"/>
                <w:color w:val="auto"/>
              </w:rPr>
            </w:pPr>
            <w:r>
              <w:rPr>
                <w:rFonts w:ascii="Arial" w:cs="Arial" w:eastAsia="Arial" w:hAnsi="Arial"/>
                <w:sz w:val="22"/>
                <w:szCs w:val="22"/>
                <w:b w:val="1"/>
                <w:bCs w:val="1"/>
                <w:color w:val="auto"/>
                <w:w w:val="85"/>
              </w:rPr>
              <w:t>2021</w:t>
            </w:r>
          </w:p>
        </w:tc>
        <w:tc>
          <w:tcPr>
            <w:tcW w:w="100" w:type="dxa"/>
            <w:vAlign w:val="bottom"/>
          </w:tcPr>
          <w:p>
            <w:pPr>
              <w:spacing w:after="0"/>
              <w:rPr>
                <w:sz w:val="19"/>
                <w:szCs w:val="19"/>
                <w:color w:val="auto"/>
              </w:rPr>
            </w:pPr>
          </w:p>
        </w:tc>
      </w:tr>
      <w:tr>
        <w:trPr>
          <w:trHeight w:val="263"/>
        </w:trPr>
        <w:tc>
          <w:tcPr>
            <w:tcW w:w="4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shd w:val="clear" w:color="auto" w:fill="E5FFFF"/>
          </w:tcPr>
          <w:p>
            <w:pPr>
              <w:ind w:left="100"/>
              <w:spacing w:after="0" w:line="243" w:lineRule="exact"/>
              <w:rPr>
                <w:sz w:val="20"/>
                <w:szCs w:val="20"/>
                <w:color w:val="auto"/>
              </w:rPr>
            </w:pPr>
            <w:r>
              <w:rPr>
                <w:rFonts w:ascii="Arial" w:cs="Arial" w:eastAsia="Arial" w:hAnsi="Arial"/>
                <w:sz w:val="22"/>
                <w:szCs w:val="22"/>
                <w:color w:val="auto"/>
              </w:rPr>
              <w:t>Commodity futures (1)</w:t>
            </w:r>
          </w:p>
        </w:tc>
        <w:tc>
          <w:tcPr>
            <w:tcW w:w="420" w:type="dxa"/>
            <w:vAlign w:val="bottom"/>
            <w:shd w:val="clear" w:color="auto" w:fill="E5FFFF"/>
          </w:tcPr>
          <w:p>
            <w:pPr>
              <w:jc w:val="right"/>
              <w:ind w:right="219"/>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117"/>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4"/>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9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3,822</w:t>
            </w:r>
          </w:p>
        </w:tc>
        <w:tc>
          <w:tcPr>
            <w:tcW w:w="820" w:type="dxa"/>
            <w:vAlign w:val="bottom"/>
            <w:gridSpan w:val="2"/>
            <w:shd w:val="clear" w:color="auto" w:fill="E5FFFF"/>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1,794</w:t>
            </w:r>
          </w:p>
        </w:tc>
      </w:tr>
      <w:tr>
        <w:trPr>
          <w:trHeight w:val="257"/>
        </w:trPr>
        <w:tc>
          <w:tcPr>
            <w:tcW w:w="4840" w:type="dxa"/>
            <w:vAlign w:val="bottom"/>
          </w:tcPr>
          <w:p>
            <w:pPr>
              <w:ind w:left="100"/>
              <w:spacing w:after="0"/>
              <w:rPr>
                <w:sz w:val="20"/>
                <w:szCs w:val="20"/>
                <w:color w:val="auto"/>
              </w:rPr>
            </w:pPr>
            <w:r>
              <w:rPr>
                <w:rFonts w:ascii="Arial" w:cs="Arial" w:eastAsia="Arial" w:hAnsi="Arial"/>
                <w:sz w:val="22"/>
                <w:szCs w:val="22"/>
                <w:color w:val="auto"/>
              </w:rPr>
              <w:t>Forward purchase contracts (2)</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22"/>
                <w:szCs w:val="22"/>
                <w:color w:val="auto"/>
              </w:rPr>
              <w:t>430</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4"/>
          </w:tcPr>
          <w:p>
            <w:pPr>
              <w:jc w:val="right"/>
              <w:ind w:right="420"/>
              <w:spacing w:after="0"/>
              <w:rPr>
                <w:sz w:val="20"/>
                <w:szCs w:val="20"/>
                <w:color w:val="auto"/>
              </w:rPr>
            </w:pPr>
            <w:r>
              <w:rPr>
                <w:rFonts w:ascii="Arial" w:cs="Arial" w:eastAsia="Arial" w:hAnsi="Arial"/>
                <w:sz w:val="22"/>
                <w:szCs w:val="22"/>
                <w:color w:val="auto"/>
              </w:rPr>
              <w:t>2,144</w:t>
            </w: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22"/>
                <w:szCs w:val="22"/>
                <w:color w:val="auto"/>
              </w:rPr>
              <w:t>687</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22"/>
                <w:szCs w:val="22"/>
                <w:color w:val="auto"/>
              </w:rPr>
              <w:t>-</w:t>
            </w:r>
          </w:p>
        </w:tc>
      </w:tr>
      <w:tr>
        <w:trPr>
          <w:trHeight w:val="250"/>
        </w:trPr>
        <w:tc>
          <w:tcPr>
            <w:tcW w:w="4840" w:type="dxa"/>
            <w:vAlign w:val="bottom"/>
            <w:tcBorders>
              <w:top w:val="single" w:sz="8" w:color="E5FFFF"/>
              <w:bottom w:val="single" w:sz="8" w:color="E5FFFF"/>
            </w:tcBorders>
            <w:shd w:val="clear" w:color="auto" w:fill="E5FFFF"/>
          </w:tcPr>
          <w:p>
            <w:pPr>
              <w:ind w:left="100"/>
              <w:spacing w:after="0" w:line="250" w:lineRule="exact"/>
              <w:rPr>
                <w:sz w:val="20"/>
                <w:szCs w:val="20"/>
                <w:color w:val="auto"/>
              </w:rPr>
            </w:pPr>
            <w:r>
              <w:rPr>
                <w:rFonts w:ascii="Arial" w:cs="Arial" w:eastAsia="Arial" w:hAnsi="Arial"/>
                <w:sz w:val="22"/>
                <w:szCs w:val="22"/>
                <w:color w:val="auto"/>
              </w:rPr>
              <w:t>Total</w:t>
            </w:r>
          </w:p>
        </w:tc>
        <w:tc>
          <w:tcPr>
            <w:tcW w:w="420" w:type="dxa"/>
            <w:vAlign w:val="bottom"/>
            <w:tcBorders>
              <w:top w:val="single" w:sz="8" w:color="auto"/>
              <w:bottom w:val="single" w:sz="8" w:color="auto"/>
            </w:tcBorders>
            <w:shd w:val="clear" w:color="auto" w:fill="E5FFFF"/>
          </w:tcPr>
          <w:p>
            <w:pPr>
              <w:jc w:val="right"/>
              <w:ind w:right="219"/>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rPr>
              <w:t>430</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17"/>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2,144</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Arial" w:cs="Arial" w:eastAsia="Arial" w:hAnsi="Arial"/>
                <w:sz w:val="22"/>
                <w:szCs w:val="22"/>
                <w:color w:val="auto"/>
              </w:rPr>
              <w:t>4,509</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Arial" w:cs="Arial" w:eastAsia="Arial" w:hAnsi="Arial"/>
                <w:sz w:val="22"/>
                <w:szCs w:val="22"/>
                <w:color w:val="auto"/>
              </w:rPr>
              <w:t>1,794</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3"/>
        </w:trPr>
        <w:tc>
          <w:tcPr>
            <w:tcW w:w="4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22"/>
                <w:szCs w:val="22"/>
                <w:color w:val="auto"/>
              </w:rPr>
              <w:t>18</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48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8" w:name="page19"/>
    <w:bookmarkEnd w:id="18"/>
    <w:p>
      <w:pPr>
        <w:jc w:val="both"/>
        <w:ind w:left="660" w:hanging="4"/>
        <w:spacing w:after="0" w:line="248" w:lineRule="auto"/>
        <w:tabs>
          <w:tab w:leader="none" w:pos="986" w:val="left"/>
        </w:tabs>
        <w:numPr>
          <w:ilvl w:val="0"/>
          <w:numId w:val="6"/>
        </w:numPr>
        <w:rPr>
          <w:rFonts w:ascii="Arial" w:cs="Arial" w:eastAsia="Arial" w:hAnsi="Arial"/>
          <w:sz w:val="21"/>
          <w:szCs w:val="21"/>
          <w:color w:val="auto"/>
        </w:rPr>
      </w:pPr>
      <w:r>
        <w:rPr>
          <w:rFonts w:ascii="Arial" w:cs="Arial" w:eastAsia="Arial" w:hAnsi="Arial"/>
          <w:sz w:val="21"/>
          <w:szCs w:val="21"/>
          <w:color w:val="auto"/>
        </w:rPr>
        <w:t>Commodity futures liabilities are included in accrued expenses and other current liabilities. These contracts include short/sell positions for approximately 690,000 bushels of corn and 5.5 million gallons of ethanol at October 31, 2021. These contracts include short/sell positions for approximately 6.9 million bushels of corn at January 31, 2021. These contracts included long/buy positions for approximately 2.3 million bushels of corn at October 31, 2021. There were no long/buy positions at January 31, 2021. Commodity futures assets, had there been any at either October 31, 2021 or January 31, 2021 would be included in prepaid expenses and other assets.</w:t>
      </w:r>
    </w:p>
    <w:p>
      <w:pPr>
        <w:spacing w:after="0" w:line="203" w:lineRule="exact"/>
        <w:rPr>
          <w:rFonts w:ascii="Arial" w:cs="Arial" w:eastAsia="Arial" w:hAnsi="Arial"/>
          <w:sz w:val="21"/>
          <w:szCs w:val="21"/>
          <w:color w:val="auto"/>
        </w:rPr>
      </w:pPr>
    </w:p>
    <w:p>
      <w:pPr>
        <w:jc w:val="both"/>
        <w:ind w:left="660" w:hanging="4"/>
        <w:spacing w:after="0" w:line="236" w:lineRule="auto"/>
        <w:tabs>
          <w:tab w:leader="none" w:pos="983"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Forward purchase contracts assets are included in prepaid expenses and other current assets. These contracts are for purchases of approximately 5.7 million bushels of corn at October 31, 2021 and 6.4 million bushels of corn at January 31, 2021. Forward contract liabilities are included in accrued expenses and other current liabilities. These contracts are for purchases of approximately 6.7 million bushels of corn at October 31, 2021. There were no forward contract liabilities as of January 31, 2021.</w:t>
      </w:r>
    </w:p>
    <w:p>
      <w:pPr>
        <w:spacing w:after="0" w:line="214"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As of October 31, 2021, and January 31, 2021, all of the derivative financial instruments held by the Company were subject to enforceable master netting arrangements with the counterparty. The Company’s accounting policy is to offset positions and amounts owed or owing with the same counterparty. As of October 31, 2021, and January 31, 2021,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$1,737,000 and approximately $1,657,000 to secure the Company’s derivative position at October 31, 2021 and January 31, 2021, respectively.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The Company recognized losses (included in net sales and revenue) on derivative financial instruments of approximately $2,144,000 and $777,000 for the third quarter of fiscal years 2021 and 2020, respectively. The Company recognized losses (included in net sales and revenue) on derivative financial instruments of approximately $4,907,000 and $1,076,000 for the first nine months of fiscal years 2021 and 2020,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 recognized gains (included in cost of sales) on derivative financial instruments of approximately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$5,474,000 and losses of approximately $26,000 for the third quarter of fiscal years 2021 and 2020, respectively. The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recognized losses (included in cost of sales) on derivative financial instruments of approximately $2,562,000 and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$1,785,000 for the first nine months of fiscal years 2021 and 2020,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39"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October 31, 2021 and January 31, 2021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60" w:type="dxa"/>
            <w:vAlign w:val="bottom"/>
            <w:gridSpan w:val="4"/>
          </w:tcPr>
          <w:p>
            <w:pPr>
              <w:jc w:val="right"/>
              <w:ind w:right="1100"/>
              <w:spacing w:after="0"/>
              <w:rPr>
                <w:sz w:val="20"/>
                <w:szCs w:val="20"/>
                <w:color w:val="auto"/>
              </w:rPr>
            </w:pPr>
            <w:r>
              <w:rPr>
                <w:rFonts w:ascii="Arial" w:cs="Arial" w:eastAsia="Arial" w:hAnsi="Arial"/>
                <w:sz w:val="22"/>
                <w:szCs w:val="22"/>
                <w:b w:val="1"/>
                <w:bCs w:val="1"/>
                <w:color w:val="auto"/>
              </w:rPr>
              <w:t>Carrying Amount</w:t>
            </w:r>
          </w:p>
        </w:tc>
      </w:tr>
      <w:tr>
        <w:trPr>
          <w:trHeight w:val="230"/>
        </w:trPr>
        <w:tc>
          <w:tcPr>
            <w:tcW w:w="262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Entity</w:t>
            </w:r>
          </w:p>
        </w:tc>
        <w:tc>
          <w:tcPr>
            <w:tcW w:w="262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Ownership Percentage</w:t>
            </w:r>
          </w:p>
        </w:tc>
        <w:tc>
          <w:tcPr>
            <w:tcW w:w="1820" w:type="dxa"/>
            <w:vAlign w:val="bottom"/>
            <w:gridSpan w:val="2"/>
          </w:tcPr>
          <w:p>
            <w:pPr>
              <w:jc w:val="right"/>
              <w:ind w:right="260"/>
              <w:spacing w:after="0" w:line="230" w:lineRule="exact"/>
              <w:rPr>
                <w:sz w:val="20"/>
                <w:szCs w:val="20"/>
                <w:color w:val="auto"/>
              </w:rPr>
            </w:pPr>
            <w:r>
              <w:rPr>
                <w:rFonts w:ascii="Arial" w:cs="Arial" w:eastAsia="Arial" w:hAnsi="Arial"/>
                <w:sz w:val="22"/>
                <w:szCs w:val="22"/>
                <w:b w:val="1"/>
                <w:bCs w:val="1"/>
                <w:color w:val="auto"/>
                <w:w w:val="87"/>
              </w:rPr>
              <w:t>October 31, 2021</w:t>
            </w:r>
          </w:p>
        </w:tc>
        <w:tc>
          <w:tcPr>
            <w:tcW w:w="184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January 31, 2021</w:t>
            </w:r>
          </w:p>
        </w:tc>
      </w:tr>
      <w:tr>
        <w:trPr>
          <w:trHeight w:val="20"/>
        </w:trPr>
        <w:tc>
          <w:tcPr>
            <w:tcW w:w="5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30"/>
        </w:trPr>
        <w:tc>
          <w:tcPr>
            <w:tcW w:w="262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2100" w:type="dxa"/>
            <w:vAlign w:val="bottom"/>
          </w:tcPr>
          <w:p>
            <w:pPr>
              <w:jc w:val="right"/>
              <w:ind w:right="612"/>
              <w:spacing w:after="0"/>
              <w:rPr>
                <w:sz w:val="20"/>
                <w:szCs w:val="20"/>
                <w:color w:val="auto"/>
              </w:rPr>
            </w:pPr>
            <w:r>
              <w:rPr>
                <w:rFonts w:ascii="Arial" w:cs="Arial" w:eastAsia="Arial" w:hAnsi="Arial"/>
                <w:sz w:val="22"/>
                <w:szCs w:val="22"/>
                <w:color w:val="auto"/>
              </w:rPr>
              <w:t>10.3%</w:t>
            </w:r>
          </w:p>
        </w:tc>
        <w:tc>
          <w:tcPr>
            <w:tcW w:w="5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$30,715</w:t>
            </w:r>
          </w:p>
        </w:tc>
        <w:tc>
          <w:tcPr>
            <w:tcW w:w="26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22"/>
                <w:szCs w:val="22"/>
                <w:color w:val="auto"/>
              </w:rPr>
              <w:t>$29,456</w:t>
            </w:r>
          </w:p>
        </w:tc>
      </w:tr>
    </w:tbl>
    <w:p>
      <w:pPr>
        <w:spacing w:after="0" w:line="212"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Undistributed earnings of the Company’s equity method investee totaled approximately $10.7 million and approximately $9.4 million at October 31, 2021 and January 31, 2021, respectively. The Company received dividends from its equity method investee of approximately $1.5 million and approximately $2.5 million in the first nine months of fiscal year 2021 and 2020, respectively.</w:t>
      </w:r>
    </w:p>
    <w:p>
      <w:pPr>
        <w:spacing w:after="0" w:line="21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80" w:type="dxa"/>
            <w:vAlign w:val="bottom"/>
            <w:gridSpan w:val="7"/>
          </w:tcPr>
          <w:p>
            <w:pPr>
              <w:ind w:left="20"/>
              <w:spacing w:after="0"/>
              <w:rPr>
                <w:sz w:val="20"/>
                <w:szCs w:val="20"/>
                <w:color w:val="auto"/>
              </w:rPr>
            </w:pPr>
            <w:r>
              <w:rPr>
                <w:rFonts w:ascii="Arial" w:cs="Arial" w:eastAsia="Arial" w:hAnsi="Arial"/>
                <w:sz w:val="22"/>
                <w:szCs w:val="22"/>
                <w:b w:val="1"/>
                <w:bCs w:val="1"/>
                <w:color w:val="auto"/>
              </w:rPr>
              <w:t>Three Months Ended</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80" w:type="dxa"/>
            <w:vAlign w:val="bottom"/>
            <w:gridSpan w:val="5"/>
          </w:tcPr>
          <w:p>
            <w:pPr>
              <w:ind w:left="20"/>
              <w:spacing w:after="0"/>
              <w:rPr>
                <w:sz w:val="20"/>
                <w:szCs w:val="20"/>
                <w:color w:val="auto"/>
              </w:rPr>
            </w:pPr>
            <w:r>
              <w:rPr>
                <w:rFonts w:ascii="Arial" w:cs="Arial" w:eastAsia="Arial" w:hAnsi="Arial"/>
                <w:sz w:val="22"/>
                <w:szCs w:val="22"/>
                <w:b w:val="1"/>
                <w:bCs w:val="1"/>
                <w:color w:val="auto"/>
              </w:rPr>
              <w:t>Nine Months Ended</w:t>
            </w:r>
          </w:p>
        </w:tc>
      </w:tr>
      <w:tr>
        <w:trPr>
          <w:trHeight w:val="257"/>
        </w:trPr>
        <w:tc>
          <w:tcPr>
            <w:tcW w:w="3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22"/>
                <w:szCs w:val="22"/>
                <w:b w:val="1"/>
                <w:bCs w:val="1"/>
                <w:color w:val="auto"/>
              </w:rPr>
              <w:t>October 31,</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gridSpan w:val="5"/>
          </w:tcPr>
          <w:p>
            <w:pPr>
              <w:jc w:val="right"/>
              <w:ind w:right="800"/>
              <w:spacing w:after="0"/>
              <w:rPr>
                <w:sz w:val="20"/>
                <w:szCs w:val="20"/>
                <w:color w:val="auto"/>
              </w:rPr>
            </w:pPr>
            <w:r>
              <w:rPr>
                <w:rFonts w:ascii="Arial" w:cs="Arial" w:eastAsia="Arial" w:hAnsi="Arial"/>
                <w:sz w:val="22"/>
                <w:szCs w:val="22"/>
                <w:b w:val="1"/>
                <w:bCs w:val="1"/>
                <w:color w:val="auto"/>
              </w:rPr>
              <w:t>October 31,</w:t>
            </w:r>
          </w:p>
        </w:tc>
      </w:tr>
      <w:tr>
        <w:trPr>
          <w:trHeight w:val="230"/>
        </w:trPr>
        <w:tc>
          <w:tcPr>
            <w:tcW w:w="3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ind w:left="40"/>
              <w:spacing w:after="0" w:line="230" w:lineRule="exact"/>
              <w:rPr>
                <w:sz w:val="20"/>
                <w:szCs w:val="20"/>
                <w:color w:val="auto"/>
              </w:rPr>
            </w:pPr>
            <w:r>
              <w:rPr>
                <w:rFonts w:ascii="Arial" w:cs="Arial" w:eastAsia="Arial" w:hAnsi="Arial"/>
                <w:sz w:val="22"/>
                <w:szCs w:val="22"/>
                <w:b w:val="1"/>
                <w:bCs w:val="1"/>
                <w:color w:val="auto"/>
                <w:w w:val="85"/>
              </w:rPr>
              <w:t>2021</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89"/>
              </w:rPr>
              <w:t>2020</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2"/>
          </w:tcPr>
          <w:p>
            <w:pPr>
              <w:ind w:left="60"/>
              <w:spacing w:after="0" w:line="230" w:lineRule="exact"/>
              <w:rPr>
                <w:sz w:val="20"/>
                <w:szCs w:val="20"/>
                <w:color w:val="auto"/>
              </w:rPr>
            </w:pPr>
            <w:r>
              <w:rPr>
                <w:rFonts w:ascii="Arial" w:cs="Arial" w:eastAsia="Arial" w:hAnsi="Arial"/>
                <w:sz w:val="22"/>
                <w:szCs w:val="22"/>
                <w:b w:val="1"/>
                <w:bCs w:val="1"/>
                <w:color w:val="auto"/>
                <w:w w:val="85"/>
              </w:rPr>
              <w:t>2021</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400"/>
              <w:spacing w:after="0" w:line="230" w:lineRule="exact"/>
              <w:rPr>
                <w:sz w:val="20"/>
                <w:szCs w:val="20"/>
                <w:color w:val="auto"/>
              </w:rPr>
            </w:pPr>
            <w:r>
              <w:rPr>
                <w:rFonts w:ascii="Arial" w:cs="Arial" w:eastAsia="Arial" w:hAnsi="Arial"/>
                <w:sz w:val="22"/>
                <w:szCs w:val="22"/>
                <w:b w:val="1"/>
                <w:bCs w:val="1"/>
                <w:color w:val="auto"/>
                <w:w w:val="85"/>
              </w:rPr>
              <w:t>2020</w:t>
            </w:r>
          </w:p>
        </w:tc>
      </w:tr>
      <w:tr>
        <w:trPr>
          <w:trHeight w:val="263"/>
        </w:trPr>
        <w:tc>
          <w:tcPr>
            <w:tcW w:w="3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r>
      <w:tr>
        <w:trPr>
          <w:trHeight w:val="243"/>
        </w:trPr>
        <w:tc>
          <w:tcPr>
            <w:tcW w:w="3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347,059</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w w:val="98"/>
              </w:rPr>
              <w:t>209,397</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w w:val="98"/>
              </w:rPr>
              <w:t>966,858</w:t>
            </w:r>
          </w:p>
        </w:tc>
        <w:tc>
          <w:tcPr>
            <w:tcW w:w="480" w:type="dxa"/>
            <w:vAlign w:val="bottom"/>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w w:val="93"/>
              </w:rPr>
              <w:t>537,155</w:t>
            </w:r>
          </w:p>
        </w:tc>
      </w:tr>
      <w:tr>
        <w:trPr>
          <w:trHeight w:val="243"/>
        </w:trPr>
        <w:tc>
          <w:tcPr>
            <w:tcW w:w="3860" w:type="dxa"/>
            <w:vAlign w:val="bottom"/>
          </w:tcPr>
          <w:p>
            <w:pPr>
              <w:spacing w:after="0" w:line="243" w:lineRule="exact"/>
              <w:rPr>
                <w:sz w:val="20"/>
                <w:szCs w:val="20"/>
                <w:color w:val="auto"/>
              </w:rPr>
            </w:pPr>
            <w:r>
              <w:rPr>
                <w:rFonts w:ascii="Arial" w:cs="Arial" w:eastAsia="Arial" w:hAnsi="Arial"/>
                <w:sz w:val="22"/>
                <w:szCs w:val="22"/>
                <w:color w:val="auto"/>
              </w:rPr>
              <w:t>Gross profit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7,092</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15,419</w:t>
            </w: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27,993</w:t>
            </w:r>
          </w:p>
        </w:tc>
        <w:tc>
          <w:tcPr>
            <w:tcW w:w="4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13,041</w:t>
            </w:r>
          </w:p>
        </w:tc>
      </w:tr>
      <w:tr>
        <w:trPr>
          <w:trHeight w:val="243"/>
        </w:trPr>
        <w:tc>
          <w:tcPr>
            <w:tcW w:w="3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from continuing operations</w:t>
            </w:r>
          </w:p>
        </w:tc>
        <w:tc>
          <w:tcPr>
            <w:tcW w:w="9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3,390</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11,167</w:t>
            </w:r>
          </w:p>
        </w:tc>
        <w:tc>
          <w:tcPr>
            <w:tcW w:w="4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3"/>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26,802</w:t>
            </w:r>
          </w:p>
        </w:tc>
        <w:tc>
          <w:tcPr>
            <w:tcW w:w="480" w:type="dxa"/>
            <w:vAlign w:val="bottom"/>
            <w:shd w:val="clear" w:color="auto" w:fill="E5FF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2"/>
            <w:shd w:val="clear" w:color="auto" w:fill="E5FFFF"/>
          </w:tcPr>
          <w:p>
            <w:pPr>
              <w:jc w:val="right"/>
              <w:ind w:right="80"/>
              <w:spacing w:after="0" w:line="243" w:lineRule="exact"/>
              <w:rPr>
                <w:sz w:val="20"/>
                <w:szCs w:val="20"/>
                <w:color w:val="auto"/>
              </w:rPr>
            </w:pPr>
            <w:r>
              <w:rPr>
                <w:rFonts w:ascii="Arial" w:cs="Arial" w:eastAsia="Arial" w:hAnsi="Arial"/>
                <w:sz w:val="22"/>
                <w:szCs w:val="22"/>
                <w:color w:val="auto"/>
              </w:rPr>
              <w:t>1,627</w:t>
            </w:r>
          </w:p>
        </w:tc>
      </w:tr>
      <w:tr>
        <w:trPr>
          <w:trHeight w:val="274"/>
        </w:trPr>
        <w:tc>
          <w:tcPr>
            <w:tcW w:w="3860" w:type="dxa"/>
            <w:vAlign w:val="bottom"/>
          </w:tcPr>
          <w:p>
            <w:pPr>
              <w:spacing w:after="0"/>
              <w:rPr>
                <w:sz w:val="20"/>
                <w:szCs w:val="20"/>
                <w:color w:val="auto"/>
              </w:rPr>
            </w:pPr>
            <w:r>
              <w:rPr>
                <w:rFonts w:ascii="Arial" w:cs="Arial" w:eastAsia="Arial" w:hAnsi="Arial"/>
                <w:sz w:val="22"/>
                <w:szCs w:val="22"/>
                <w:color w:val="auto"/>
              </w:rPr>
              <w:t>Net income</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22"/>
                <w:szCs w:val="22"/>
                <w:color w:val="auto"/>
              </w:rPr>
              <w:t>3,390</w:t>
            </w:r>
          </w:p>
        </w:tc>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22"/>
                <w:szCs w:val="22"/>
                <w:color w:val="auto"/>
              </w:rPr>
              <w:t>11,167</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22"/>
                <w:szCs w:val="22"/>
                <w:color w:val="auto"/>
              </w:rPr>
              <w:t>26,802</w:t>
            </w:r>
          </w:p>
        </w:tc>
        <w:tc>
          <w:tcPr>
            <w:tcW w:w="4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22"/>
                <w:szCs w:val="22"/>
                <w:color w:val="auto"/>
              </w:rPr>
              <w:t>1,627</w:t>
            </w:r>
          </w:p>
        </w:tc>
      </w:tr>
    </w:tbl>
    <w:p>
      <w:pPr>
        <w:spacing w:after="0" w:line="19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October 31, 2021, the Company owned certificates of deposit that had an amortized cost, or carrying value, of approximately $21,620,000. The contractual maturity of these investments was less than one year. The yield to maturity rate was approximately 0.1%. Unrealized gains or losses were insignificant.</w:t>
      </w:r>
    </w:p>
    <w:p>
      <w:pPr>
        <w:spacing w:after="0" w:line="21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January 31, 2021, the Company owned certificates of deposit that had an amortized cost, or carrying value, of approximately $36,194,000. The contractual maturity of these investments was less than one year. The yield to maturity rate was approximately 0.2%. Unrealized gains or losses were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 w:name="page21"/>
    <w:bookmarkEnd w:id="20"/>
    <w:p>
      <w:pPr>
        <w:jc w:val="both"/>
        <w:ind w:right="20"/>
        <w:spacing w:after="0" w:line="273" w:lineRule="auto"/>
        <w:rPr>
          <w:sz w:val="20"/>
          <w:szCs w:val="20"/>
          <w:color w:val="auto"/>
        </w:rPr>
      </w:pPr>
      <w:r>
        <w:rPr>
          <w:rFonts w:ascii="Arial" w:cs="Arial" w:eastAsia="Arial" w:hAnsi="Arial"/>
          <w:sz w:val="19"/>
          <w:szCs w:val="19"/>
          <w:color w:val="auto"/>
        </w:rPr>
        <w:t>awards in its consolidated financial statements over the requisite service period on a straight-line basis. At October 31, 2021, 471,027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w:t>
      </w:r>
    </w:p>
    <w:p>
      <w:pPr>
        <w:spacing w:after="0" w:line="1"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on the grant date. The 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6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At October 31, 2021 and January 31, 2021, unrecognized compensation cost related to nonvested restricted stock was approximately $126,000 and $272,000, respectively. The following tables summarize non-vested restricted stock award activity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0"/>
          </w:tcPr>
          <w:p>
            <w:pPr>
              <w:ind w:left="80"/>
              <w:spacing w:after="0"/>
              <w:rPr>
                <w:sz w:val="20"/>
                <w:szCs w:val="20"/>
                <w:color w:val="auto"/>
              </w:rPr>
            </w:pPr>
            <w:r>
              <w:rPr>
                <w:rFonts w:ascii="Arial" w:cs="Arial" w:eastAsia="Arial" w:hAnsi="Arial"/>
                <w:sz w:val="22"/>
                <w:szCs w:val="22"/>
                <w:b w:val="1"/>
                <w:bCs w:val="1"/>
                <w:color w:val="auto"/>
              </w:rPr>
              <w:t>Nine Months Ended October 31, 2021</w:t>
            </w:r>
          </w:p>
        </w:tc>
      </w:tr>
      <w:tr>
        <w:trPr>
          <w:trHeight w:val="449"/>
        </w:trPr>
        <w:tc>
          <w:tcPr>
            <w:tcW w:w="3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4"/>
          </w:tcPr>
          <w:p>
            <w:pPr>
              <w:jc w:val="center"/>
              <w:ind w:right="580"/>
              <w:spacing w:after="0"/>
              <w:rPr>
                <w:sz w:val="20"/>
                <w:szCs w:val="20"/>
                <w:color w:val="auto"/>
              </w:rPr>
            </w:pPr>
            <w:r>
              <w:rPr>
                <w:rFonts w:ascii="Arial" w:cs="Arial" w:eastAsia="Arial" w:hAnsi="Arial"/>
                <w:sz w:val="22"/>
                <w:szCs w:val="22"/>
                <w:b w:val="1"/>
                <w:bCs w:val="1"/>
                <w:color w:val="auto"/>
                <w:w w:val="88"/>
              </w:rPr>
              <w:t>Weighted</w:t>
            </w:r>
          </w:p>
        </w:tc>
        <w:tc>
          <w:tcPr>
            <w:tcW w:w="2220" w:type="dxa"/>
            <w:vAlign w:val="bottom"/>
            <w:gridSpan w:val="4"/>
          </w:tcPr>
          <w:p>
            <w:pPr>
              <w:jc w:val="center"/>
              <w:ind w:left="272"/>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39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20" w:type="dxa"/>
            <w:vAlign w:val="bottom"/>
            <w:gridSpan w:val="5"/>
          </w:tcPr>
          <w:p>
            <w:pPr>
              <w:jc w:val="center"/>
              <w:ind w:right="340"/>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220" w:type="dxa"/>
            <w:vAlign w:val="bottom"/>
            <w:gridSpan w:val="4"/>
          </w:tcPr>
          <w:p>
            <w:pPr>
              <w:jc w:val="center"/>
              <w:ind w:left="29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3980" w:type="dxa"/>
            <w:vAlign w:val="bottom"/>
          </w:tcPr>
          <w:p>
            <w:pPr>
              <w:spacing w:after="0"/>
              <w:rPr>
                <w:sz w:val="21"/>
                <w:szCs w:val="21"/>
                <w:color w:val="auto"/>
              </w:rPr>
            </w:pPr>
          </w:p>
        </w:tc>
        <w:tc>
          <w:tcPr>
            <w:tcW w:w="2320" w:type="dxa"/>
            <w:vAlign w:val="bottom"/>
            <w:gridSpan w:val="4"/>
          </w:tcPr>
          <w:p>
            <w:pPr>
              <w:jc w:val="center"/>
              <w:ind w:left="952"/>
              <w:spacing w:after="0" w:line="243" w:lineRule="exact"/>
              <w:rPr>
                <w:sz w:val="20"/>
                <w:szCs w:val="20"/>
                <w:color w:val="auto"/>
              </w:rPr>
            </w:pPr>
            <w:r>
              <w:rPr>
                <w:rFonts w:ascii="Arial" w:cs="Arial" w:eastAsia="Arial" w:hAnsi="Arial"/>
                <w:sz w:val="22"/>
                <w:szCs w:val="22"/>
                <w:b w:val="1"/>
                <w:bCs w:val="1"/>
                <w:color w:val="auto"/>
                <w:w w:val="86"/>
              </w:rPr>
              <w:t>Non-Vested</w:t>
            </w:r>
          </w:p>
        </w:tc>
        <w:tc>
          <w:tcPr>
            <w:tcW w:w="820" w:type="dxa"/>
            <w:vAlign w:val="bottom"/>
          </w:tcPr>
          <w:p>
            <w:pPr>
              <w:spacing w:after="0"/>
              <w:rPr>
                <w:sz w:val="21"/>
                <w:szCs w:val="21"/>
                <w:color w:val="auto"/>
              </w:rPr>
            </w:pPr>
          </w:p>
        </w:tc>
        <w:tc>
          <w:tcPr>
            <w:tcW w:w="1920" w:type="dxa"/>
            <w:vAlign w:val="bottom"/>
            <w:gridSpan w:val="5"/>
          </w:tcPr>
          <w:p>
            <w:pPr>
              <w:jc w:val="center"/>
              <w:ind w:right="340"/>
              <w:spacing w:after="0" w:line="243" w:lineRule="exact"/>
              <w:rPr>
                <w:sz w:val="20"/>
                <w:szCs w:val="20"/>
                <w:color w:val="auto"/>
              </w:rPr>
            </w:pPr>
            <w:r>
              <w:rPr>
                <w:rFonts w:ascii="Arial" w:cs="Arial" w:eastAsia="Arial" w:hAnsi="Arial"/>
                <w:sz w:val="22"/>
                <w:szCs w:val="22"/>
                <w:b w:val="1"/>
                <w:bCs w:val="1"/>
                <w:color w:val="auto"/>
                <w:w w:val="91"/>
              </w:rPr>
              <w:t>Date Fair Value</w:t>
            </w:r>
          </w:p>
        </w:tc>
        <w:tc>
          <w:tcPr>
            <w:tcW w:w="2220" w:type="dxa"/>
            <w:vAlign w:val="bottom"/>
            <w:gridSpan w:val="4"/>
          </w:tcPr>
          <w:p>
            <w:pPr>
              <w:jc w:val="center"/>
              <w:ind w:left="272"/>
              <w:spacing w:after="0" w:line="243" w:lineRule="exact"/>
              <w:rPr>
                <w:sz w:val="20"/>
                <w:szCs w:val="20"/>
                <w:color w:val="auto"/>
              </w:rPr>
            </w:pPr>
            <w:r>
              <w:rPr>
                <w:rFonts w:ascii="Arial" w:cs="Arial" w:eastAsia="Arial" w:hAnsi="Arial"/>
                <w:sz w:val="22"/>
                <w:szCs w:val="22"/>
                <w:b w:val="1"/>
                <w:bCs w:val="1"/>
                <w:color w:val="auto"/>
                <w:w w:val="88"/>
              </w:rPr>
              <w:t>Vesting Term</w:t>
            </w:r>
          </w:p>
        </w:tc>
      </w:tr>
      <w:tr>
        <w:trPr>
          <w:trHeight w:val="230"/>
        </w:trPr>
        <w:tc>
          <w:tcPr>
            <w:tcW w:w="3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gridSpan w:val="3"/>
          </w:tcPr>
          <w:p>
            <w:pPr>
              <w:jc w:val="center"/>
              <w:ind w:right="320"/>
              <w:spacing w:after="0" w:line="230" w:lineRule="exact"/>
              <w:rPr>
                <w:sz w:val="20"/>
                <w:szCs w:val="20"/>
                <w:color w:val="auto"/>
              </w:rPr>
            </w:pPr>
            <w:r>
              <w:rPr>
                <w:rFonts w:ascii="Arial" w:cs="Arial" w:eastAsia="Arial" w:hAnsi="Arial"/>
                <w:sz w:val="22"/>
                <w:szCs w:val="22"/>
                <w:b w:val="1"/>
                <w:bCs w:val="1"/>
                <w:color w:val="auto"/>
                <w:w w:val="84"/>
              </w:rPr>
              <w:t>Shares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ind w:right="820"/>
              <w:spacing w:after="0" w:line="230" w:lineRule="exact"/>
              <w:rPr>
                <w:sz w:val="20"/>
                <w:szCs w:val="20"/>
                <w:color w:val="auto"/>
              </w:rPr>
            </w:pPr>
            <w:r>
              <w:rPr>
                <w:rFonts w:ascii="Arial" w:cs="Arial" w:eastAsia="Arial" w:hAnsi="Arial"/>
                <w:sz w:val="22"/>
                <w:szCs w:val="22"/>
                <w:b w:val="1"/>
                <w:bCs w:val="1"/>
                <w:color w:val="auto"/>
                <w:w w:val="86"/>
              </w:rPr>
              <w:t>(000’s)</w:t>
            </w:r>
          </w:p>
        </w:tc>
        <w:tc>
          <w:tcPr>
            <w:tcW w:w="2220" w:type="dxa"/>
            <w:vAlign w:val="bottom"/>
            <w:gridSpan w:val="4"/>
          </w:tcPr>
          <w:p>
            <w:pPr>
              <w:jc w:val="center"/>
              <w:ind w:left="272"/>
              <w:spacing w:after="0" w:line="230" w:lineRule="exact"/>
              <w:rPr>
                <w:sz w:val="20"/>
                <w:szCs w:val="20"/>
                <w:color w:val="auto"/>
              </w:rPr>
            </w:pPr>
            <w:r>
              <w:rPr>
                <w:rFonts w:ascii="Arial" w:cs="Arial" w:eastAsia="Arial" w:hAnsi="Arial"/>
                <w:sz w:val="22"/>
                <w:szCs w:val="22"/>
                <w:b w:val="1"/>
                <w:bCs w:val="1"/>
                <w:color w:val="auto"/>
                <w:w w:val="89"/>
              </w:rPr>
              <w:t>(in years)</w:t>
            </w:r>
          </w:p>
        </w:tc>
      </w:tr>
      <w:tr>
        <w:trPr>
          <w:trHeight w:val="263"/>
        </w:trPr>
        <w:tc>
          <w:tcPr>
            <w:tcW w:w="39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2021</w:t>
            </w:r>
          </w:p>
        </w:tc>
        <w:tc>
          <w:tcPr>
            <w:tcW w:w="20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19,705</w:t>
            </w:r>
          </w:p>
        </w:tc>
        <w:tc>
          <w:tcPr>
            <w:tcW w:w="3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1,398</w:t>
            </w: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7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1</w:t>
            </w: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20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2,803</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275</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20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3980" w:type="dxa"/>
            <w:vAlign w:val="bottom"/>
          </w:tcPr>
          <w:p>
            <w:pPr>
              <w:spacing w:after="0"/>
              <w:rPr>
                <w:sz w:val="20"/>
                <w:szCs w:val="20"/>
                <w:color w:val="auto"/>
              </w:rPr>
            </w:pPr>
            <w:r>
              <w:rPr>
                <w:rFonts w:ascii="Arial" w:cs="Arial" w:eastAsia="Arial" w:hAnsi="Arial"/>
                <w:sz w:val="22"/>
                <w:szCs w:val="22"/>
                <w:color w:val="auto"/>
              </w:rPr>
              <w:t>Vested</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12,447</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900</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3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3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22"/>
                <w:szCs w:val="22"/>
                <w:color w:val="auto"/>
              </w:rPr>
              <w:t>Non-Vested at October 31, 2021</w:t>
            </w:r>
          </w:p>
        </w:tc>
        <w:tc>
          <w:tcPr>
            <w:tcW w:w="1400" w:type="dxa"/>
            <w:vAlign w:val="bottom"/>
            <w:tcBorders>
              <w:bottom w:val="single" w:sz="8" w:color="E5FFFF"/>
            </w:tcBorders>
            <w:gridSpan w:val="2"/>
            <w:shd w:val="clear" w:color="auto" w:fill="E5FFFF"/>
          </w:tcPr>
          <w:p>
            <w:pPr>
              <w:spacing w:after="0"/>
              <w:rPr>
                <w:sz w:val="22"/>
                <w:szCs w:val="22"/>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w w:val="86"/>
              </w:rPr>
              <w:t>10,061</w:t>
            </w:r>
          </w:p>
        </w:tc>
        <w:tc>
          <w:tcPr>
            <w:tcW w:w="320" w:type="dxa"/>
            <w:vAlign w:val="bottom"/>
            <w:tcBorders>
              <w:bottom w:val="single" w:sz="8" w:color="E5FFFF"/>
            </w:tcBorders>
            <w:shd w:val="clear" w:color="auto" w:fill="E5FFFF"/>
          </w:tcPr>
          <w:p>
            <w:pPr>
              <w:spacing w:after="0"/>
              <w:rPr>
                <w:sz w:val="22"/>
                <w:szCs w:val="22"/>
                <w:color w:val="auto"/>
              </w:rPr>
            </w:pPr>
          </w:p>
        </w:tc>
        <w:tc>
          <w:tcPr>
            <w:tcW w:w="820" w:type="dxa"/>
            <w:vAlign w:val="bottom"/>
            <w:tcBorders>
              <w:bottom w:val="single" w:sz="8" w:color="E5FFFF"/>
            </w:tcBorders>
            <w:shd w:val="clear" w:color="auto" w:fill="E5FFFF"/>
          </w:tcPr>
          <w:p>
            <w:pPr>
              <w:spacing w:after="0"/>
              <w:rPr>
                <w:sz w:val="22"/>
                <w:szCs w:val="22"/>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22"/>
                <w:szCs w:val="22"/>
                <w:color w:val="auto"/>
              </w:rPr>
              <w:t>773</w:t>
            </w:r>
          </w:p>
        </w:tc>
        <w:tc>
          <w:tcPr>
            <w:tcW w:w="80" w:type="dxa"/>
            <w:vAlign w:val="bottom"/>
            <w:tcBorders>
              <w:bottom w:val="single" w:sz="8" w:color="E5FFFF"/>
            </w:tcBorders>
            <w:shd w:val="clear" w:color="auto" w:fill="E5FFFF"/>
          </w:tcPr>
          <w:p>
            <w:pPr>
              <w:spacing w:after="0"/>
              <w:rPr>
                <w:sz w:val="22"/>
                <w:szCs w:val="22"/>
                <w:color w:val="auto"/>
              </w:rPr>
            </w:pPr>
          </w:p>
        </w:tc>
        <w:tc>
          <w:tcPr>
            <w:tcW w:w="820" w:type="dxa"/>
            <w:vAlign w:val="bottom"/>
            <w:tcBorders>
              <w:bottom w:val="single" w:sz="8" w:color="E5FFFF"/>
            </w:tcBorders>
            <w:shd w:val="clear" w:color="auto" w:fill="E5FFFF"/>
          </w:tcPr>
          <w:p>
            <w:pPr>
              <w:spacing w:after="0"/>
              <w:rPr>
                <w:sz w:val="22"/>
                <w:szCs w:val="22"/>
                <w:color w:val="auto"/>
              </w:rPr>
            </w:pPr>
          </w:p>
        </w:tc>
        <w:tc>
          <w:tcPr>
            <w:tcW w:w="1740" w:type="dxa"/>
            <w:vAlign w:val="bottom"/>
            <w:tcBorders>
              <w:bottom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22"/>
                <w:szCs w:val="22"/>
                <w:color w:val="auto"/>
              </w:rPr>
              <w:t>2</w:t>
            </w:r>
          </w:p>
        </w:tc>
        <w:tc>
          <w:tcPr>
            <w:tcW w:w="460" w:type="dxa"/>
            <w:vAlign w:val="bottom"/>
            <w:tcBorders>
              <w:bottom w:val="single" w:sz="8" w:color="E5FFFF"/>
            </w:tcBorders>
            <w:shd w:val="clear" w:color="auto" w:fill="E5FFFF"/>
          </w:tcPr>
          <w:p>
            <w:pPr>
              <w:spacing w:after="0"/>
              <w:rPr>
                <w:sz w:val="22"/>
                <w:szCs w:val="22"/>
                <w:color w:val="auto"/>
              </w:rPr>
            </w:pPr>
          </w:p>
        </w:tc>
        <w:tc>
          <w:tcPr>
            <w:tcW w:w="20" w:type="dxa"/>
            <w:vAlign w:val="bottom"/>
            <w:tcBorders>
              <w:bottom w:val="single" w:sz="8" w:color="E5FFFF"/>
            </w:tcBorders>
          </w:tcPr>
          <w:p>
            <w:pPr>
              <w:spacing w:after="0"/>
              <w:rPr>
                <w:sz w:val="22"/>
                <w:szCs w:val="22"/>
                <w:color w:val="auto"/>
              </w:rPr>
            </w:pPr>
          </w:p>
        </w:tc>
      </w:tr>
      <w:tr>
        <w:trPr>
          <w:trHeight w:val="496"/>
        </w:trPr>
        <w:tc>
          <w:tcPr>
            <w:tcW w:w="3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0"/>
          </w:tcPr>
          <w:p>
            <w:pPr>
              <w:ind w:left="80"/>
              <w:spacing w:after="0"/>
              <w:rPr>
                <w:sz w:val="20"/>
                <w:szCs w:val="20"/>
                <w:color w:val="auto"/>
              </w:rPr>
            </w:pPr>
            <w:r>
              <w:rPr>
                <w:rFonts w:ascii="Arial" w:cs="Arial" w:eastAsia="Arial" w:hAnsi="Arial"/>
                <w:sz w:val="22"/>
                <w:szCs w:val="22"/>
                <w:b w:val="1"/>
                <w:bCs w:val="1"/>
                <w:color w:val="auto"/>
              </w:rPr>
              <w:t>Nine Months Ended October 31, 2020</w:t>
            </w:r>
          </w:p>
        </w:tc>
      </w:tr>
      <w:tr>
        <w:trPr>
          <w:trHeight w:val="449"/>
        </w:trPr>
        <w:tc>
          <w:tcPr>
            <w:tcW w:w="3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4"/>
          </w:tcPr>
          <w:p>
            <w:pPr>
              <w:jc w:val="center"/>
              <w:ind w:right="580"/>
              <w:spacing w:after="0"/>
              <w:rPr>
                <w:sz w:val="20"/>
                <w:szCs w:val="20"/>
                <w:color w:val="auto"/>
              </w:rPr>
            </w:pPr>
            <w:r>
              <w:rPr>
                <w:rFonts w:ascii="Arial" w:cs="Arial" w:eastAsia="Arial" w:hAnsi="Arial"/>
                <w:sz w:val="22"/>
                <w:szCs w:val="22"/>
                <w:b w:val="1"/>
                <w:bCs w:val="1"/>
                <w:color w:val="auto"/>
                <w:w w:val="88"/>
              </w:rPr>
              <w:t>Weighted</w:t>
            </w:r>
          </w:p>
        </w:tc>
        <w:tc>
          <w:tcPr>
            <w:tcW w:w="2220" w:type="dxa"/>
            <w:vAlign w:val="bottom"/>
            <w:gridSpan w:val="4"/>
          </w:tcPr>
          <w:p>
            <w:pPr>
              <w:jc w:val="center"/>
              <w:ind w:left="272"/>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39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20" w:type="dxa"/>
            <w:vAlign w:val="bottom"/>
            <w:gridSpan w:val="5"/>
          </w:tcPr>
          <w:p>
            <w:pPr>
              <w:jc w:val="center"/>
              <w:ind w:right="340"/>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2220" w:type="dxa"/>
            <w:vAlign w:val="bottom"/>
            <w:gridSpan w:val="4"/>
          </w:tcPr>
          <w:p>
            <w:pPr>
              <w:jc w:val="center"/>
              <w:ind w:left="292"/>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3980" w:type="dxa"/>
            <w:vAlign w:val="bottom"/>
          </w:tcPr>
          <w:p>
            <w:pPr>
              <w:spacing w:after="0"/>
              <w:rPr>
                <w:sz w:val="21"/>
                <w:szCs w:val="21"/>
                <w:color w:val="auto"/>
              </w:rPr>
            </w:pPr>
          </w:p>
        </w:tc>
        <w:tc>
          <w:tcPr>
            <w:tcW w:w="2320" w:type="dxa"/>
            <w:vAlign w:val="bottom"/>
            <w:gridSpan w:val="4"/>
          </w:tcPr>
          <w:p>
            <w:pPr>
              <w:jc w:val="center"/>
              <w:ind w:left="952"/>
              <w:spacing w:after="0" w:line="243" w:lineRule="exact"/>
              <w:rPr>
                <w:sz w:val="20"/>
                <w:szCs w:val="20"/>
                <w:color w:val="auto"/>
              </w:rPr>
            </w:pPr>
            <w:r>
              <w:rPr>
                <w:rFonts w:ascii="Arial" w:cs="Arial" w:eastAsia="Arial" w:hAnsi="Arial"/>
                <w:sz w:val="22"/>
                <w:szCs w:val="22"/>
                <w:b w:val="1"/>
                <w:bCs w:val="1"/>
                <w:color w:val="auto"/>
                <w:w w:val="86"/>
              </w:rPr>
              <w:t>Non-Vested</w:t>
            </w:r>
          </w:p>
        </w:tc>
        <w:tc>
          <w:tcPr>
            <w:tcW w:w="820" w:type="dxa"/>
            <w:vAlign w:val="bottom"/>
          </w:tcPr>
          <w:p>
            <w:pPr>
              <w:spacing w:after="0"/>
              <w:rPr>
                <w:sz w:val="21"/>
                <w:szCs w:val="21"/>
                <w:color w:val="auto"/>
              </w:rPr>
            </w:pPr>
          </w:p>
        </w:tc>
        <w:tc>
          <w:tcPr>
            <w:tcW w:w="1920" w:type="dxa"/>
            <w:vAlign w:val="bottom"/>
            <w:gridSpan w:val="5"/>
          </w:tcPr>
          <w:p>
            <w:pPr>
              <w:jc w:val="center"/>
              <w:ind w:right="360"/>
              <w:spacing w:after="0" w:line="243" w:lineRule="exact"/>
              <w:rPr>
                <w:sz w:val="20"/>
                <w:szCs w:val="20"/>
                <w:color w:val="auto"/>
              </w:rPr>
            </w:pPr>
            <w:r>
              <w:rPr>
                <w:rFonts w:ascii="Arial" w:cs="Arial" w:eastAsia="Arial" w:hAnsi="Arial"/>
                <w:sz w:val="22"/>
                <w:szCs w:val="22"/>
                <w:b w:val="1"/>
                <w:bCs w:val="1"/>
                <w:color w:val="auto"/>
                <w:w w:val="90"/>
              </w:rPr>
              <w:t>Date Fair Value</w:t>
            </w:r>
          </w:p>
        </w:tc>
        <w:tc>
          <w:tcPr>
            <w:tcW w:w="2220" w:type="dxa"/>
            <w:vAlign w:val="bottom"/>
            <w:gridSpan w:val="4"/>
          </w:tcPr>
          <w:p>
            <w:pPr>
              <w:jc w:val="center"/>
              <w:ind w:left="272"/>
              <w:spacing w:after="0" w:line="243" w:lineRule="exact"/>
              <w:rPr>
                <w:sz w:val="20"/>
                <w:szCs w:val="20"/>
                <w:color w:val="auto"/>
              </w:rPr>
            </w:pPr>
            <w:r>
              <w:rPr>
                <w:rFonts w:ascii="Arial" w:cs="Arial" w:eastAsia="Arial" w:hAnsi="Arial"/>
                <w:sz w:val="22"/>
                <w:szCs w:val="22"/>
                <w:b w:val="1"/>
                <w:bCs w:val="1"/>
                <w:color w:val="auto"/>
                <w:w w:val="88"/>
              </w:rPr>
              <w:t>Vesting Term</w:t>
            </w:r>
          </w:p>
        </w:tc>
      </w:tr>
      <w:tr>
        <w:trPr>
          <w:trHeight w:val="230"/>
        </w:trPr>
        <w:tc>
          <w:tcPr>
            <w:tcW w:w="3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gridSpan w:val="3"/>
          </w:tcPr>
          <w:p>
            <w:pPr>
              <w:jc w:val="center"/>
              <w:ind w:right="320"/>
              <w:spacing w:after="0" w:line="230" w:lineRule="exact"/>
              <w:rPr>
                <w:sz w:val="20"/>
                <w:szCs w:val="20"/>
                <w:color w:val="auto"/>
              </w:rPr>
            </w:pPr>
            <w:r>
              <w:rPr>
                <w:rFonts w:ascii="Arial" w:cs="Arial" w:eastAsia="Arial" w:hAnsi="Arial"/>
                <w:sz w:val="22"/>
                <w:szCs w:val="22"/>
                <w:b w:val="1"/>
                <w:bCs w:val="1"/>
                <w:color w:val="auto"/>
                <w:w w:val="84"/>
              </w:rPr>
              <w:t>Shares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ind w:right="820"/>
              <w:spacing w:after="0" w:line="230" w:lineRule="exact"/>
              <w:rPr>
                <w:sz w:val="20"/>
                <w:szCs w:val="20"/>
                <w:color w:val="auto"/>
              </w:rPr>
            </w:pPr>
            <w:r>
              <w:rPr>
                <w:rFonts w:ascii="Arial" w:cs="Arial" w:eastAsia="Arial" w:hAnsi="Arial"/>
                <w:sz w:val="22"/>
                <w:szCs w:val="22"/>
                <w:b w:val="1"/>
                <w:bCs w:val="1"/>
                <w:color w:val="auto"/>
                <w:w w:val="86"/>
              </w:rPr>
              <w:t>(000’s)</w:t>
            </w:r>
          </w:p>
        </w:tc>
        <w:tc>
          <w:tcPr>
            <w:tcW w:w="2220" w:type="dxa"/>
            <w:vAlign w:val="bottom"/>
            <w:gridSpan w:val="4"/>
          </w:tcPr>
          <w:p>
            <w:pPr>
              <w:jc w:val="center"/>
              <w:ind w:left="272"/>
              <w:spacing w:after="0" w:line="230" w:lineRule="exact"/>
              <w:rPr>
                <w:sz w:val="20"/>
                <w:szCs w:val="20"/>
                <w:color w:val="auto"/>
              </w:rPr>
            </w:pPr>
            <w:r>
              <w:rPr>
                <w:rFonts w:ascii="Arial" w:cs="Arial" w:eastAsia="Arial" w:hAnsi="Arial"/>
                <w:sz w:val="22"/>
                <w:szCs w:val="22"/>
                <w:b w:val="1"/>
                <w:bCs w:val="1"/>
                <w:color w:val="auto"/>
                <w:w w:val="89"/>
              </w:rPr>
              <w:t>(in years)</w:t>
            </w:r>
          </w:p>
        </w:tc>
      </w:tr>
      <w:tr>
        <w:trPr>
          <w:trHeight w:val="263"/>
        </w:trPr>
        <w:tc>
          <w:tcPr>
            <w:tcW w:w="39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2020</w:t>
            </w:r>
          </w:p>
        </w:tc>
        <w:tc>
          <w:tcPr>
            <w:tcW w:w="20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28,576</w:t>
            </w:r>
          </w:p>
        </w:tc>
        <w:tc>
          <w:tcPr>
            <w:tcW w:w="3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2,193</w:t>
            </w: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740" w:type="dxa"/>
            <w:vAlign w:val="bottom"/>
            <w:gridSpan w:val="2"/>
            <w:shd w:val="clear" w:color="auto" w:fill="E5FFFF"/>
          </w:tcPr>
          <w:p>
            <w:pPr>
              <w:jc w:val="right"/>
              <w:ind w:right="220"/>
              <w:spacing w:after="0" w:line="243" w:lineRule="exact"/>
              <w:rPr>
                <w:sz w:val="20"/>
                <w:szCs w:val="20"/>
                <w:color w:val="auto"/>
              </w:rPr>
            </w:pPr>
            <w:r>
              <w:rPr>
                <w:rFonts w:ascii="Arial" w:cs="Arial" w:eastAsia="Arial" w:hAnsi="Arial"/>
                <w:sz w:val="22"/>
                <w:szCs w:val="22"/>
                <w:color w:val="auto"/>
              </w:rPr>
              <w:t>2</w:t>
            </w: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20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6,158</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416</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200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22"/>
                <w:szCs w:val="22"/>
                <w:color w:val="auto"/>
              </w:rPr>
              <w:t>Vested</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15,029</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1,211</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3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3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22"/>
                <w:szCs w:val="22"/>
                <w:color w:val="auto"/>
              </w:rPr>
              <w:t>Non-Vested at October 31, 2020</w:t>
            </w:r>
          </w:p>
        </w:tc>
        <w:tc>
          <w:tcPr>
            <w:tcW w:w="1400" w:type="dxa"/>
            <w:vAlign w:val="bottom"/>
            <w:tcBorders>
              <w:bottom w:val="single" w:sz="8" w:color="E5FFFF"/>
            </w:tcBorders>
            <w:gridSpan w:val="2"/>
            <w:shd w:val="clear" w:color="auto" w:fill="E5FFFF"/>
          </w:tcPr>
          <w:p>
            <w:pPr>
              <w:spacing w:after="0"/>
              <w:rPr>
                <w:sz w:val="22"/>
                <w:szCs w:val="22"/>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w w:val="86"/>
              </w:rPr>
              <w:t>19,705</w:t>
            </w:r>
          </w:p>
        </w:tc>
        <w:tc>
          <w:tcPr>
            <w:tcW w:w="320" w:type="dxa"/>
            <w:vAlign w:val="bottom"/>
            <w:tcBorders>
              <w:bottom w:val="single" w:sz="8" w:color="E5FFFF"/>
            </w:tcBorders>
            <w:shd w:val="clear" w:color="auto" w:fill="E5FFFF"/>
          </w:tcPr>
          <w:p>
            <w:pPr>
              <w:spacing w:after="0"/>
              <w:rPr>
                <w:sz w:val="22"/>
                <w:szCs w:val="22"/>
                <w:color w:val="auto"/>
              </w:rPr>
            </w:pPr>
          </w:p>
        </w:tc>
        <w:tc>
          <w:tcPr>
            <w:tcW w:w="820" w:type="dxa"/>
            <w:vAlign w:val="bottom"/>
            <w:tcBorders>
              <w:bottom w:val="single" w:sz="8" w:color="E5FFFF"/>
            </w:tcBorders>
            <w:shd w:val="clear" w:color="auto" w:fill="E5FFFF"/>
          </w:tcPr>
          <w:p>
            <w:pPr>
              <w:spacing w:after="0"/>
              <w:rPr>
                <w:sz w:val="22"/>
                <w:szCs w:val="22"/>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8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22"/>
                <w:szCs w:val="22"/>
                <w:color w:val="auto"/>
              </w:rPr>
              <w:t>1,398</w:t>
            </w:r>
          </w:p>
        </w:tc>
        <w:tc>
          <w:tcPr>
            <w:tcW w:w="80" w:type="dxa"/>
            <w:vAlign w:val="bottom"/>
            <w:tcBorders>
              <w:bottom w:val="single" w:sz="8" w:color="E5FFFF"/>
            </w:tcBorders>
            <w:shd w:val="clear" w:color="auto" w:fill="E5FFFF"/>
          </w:tcPr>
          <w:p>
            <w:pPr>
              <w:spacing w:after="0"/>
              <w:rPr>
                <w:sz w:val="22"/>
                <w:szCs w:val="22"/>
                <w:color w:val="auto"/>
              </w:rPr>
            </w:pPr>
          </w:p>
        </w:tc>
        <w:tc>
          <w:tcPr>
            <w:tcW w:w="820" w:type="dxa"/>
            <w:vAlign w:val="bottom"/>
            <w:tcBorders>
              <w:bottom w:val="single" w:sz="8" w:color="E5FFFF"/>
            </w:tcBorders>
            <w:shd w:val="clear" w:color="auto" w:fill="E5FFFF"/>
          </w:tcPr>
          <w:p>
            <w:pPr>
              <w:spacing w:after="0"/>
              <w:rPr>
                <w:sz w:val="22"/>
                <w:szCs w:val="22"/>
                <w:color w:val="auto"/>
              </w:rPr>
            </w:pPr>
          </w:p>
        </w:tc>
        <w:tc>
          <w:tcPr>
            <w:tcW w:w="1740" w:type="dxa"/>
            <w:vAlign w:val="bottom"/>
            <w:tcBorders>
              <w:bottom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22"/>
                <w:szCs w:val="22"/>
                <w:color w:val="auto"/>
              </w:rPr>
              <w:t>2</w:t>
            </w:r>
          </w:p>
        </w:tc>
        <w:tc>
          <w:tcPr>
            <w:tcW w:w="460" w:type="dxa"/>
            <w:vAlign w:val="bottom"/>
            <w:tcBorders>
              <w:bottom w:val="single" w:sz="8" w:color="E5FFFF"/>
            </w:tcBorders>
            <w:shd w:val="clear" w:color="auto" w:fill="E5FFFF"/>
          </w:tcPr>
          <w:p>
            <w:pPr>
              <w:spacing w:after="0"/>
              <w:rPr>
                <w:sz w:val="22"/>
                <w:szCs w:val="22"/>
                <w:color w:val="auto"/>
              </w:rPr>
            </w:pPr>
          </w:p>
        </w:tc>
        <w:tc>
          <w:tcPr>
            <w:tcW w:w="20" w:type="dxa"/>
            <w:vAlign w:val="bottom"/>
          </w:tcPr>
          <w:p>
            <w:pPr>
              <w:spacing w:after="0"/>
              <w:rPr>
                <w:sz w:val="22"/>
                <w:szCs w:val="22"/>
                <w:color w:val="auto"/>
              </w:rPr>
            </w:pPr>
          </w:p>
        </w:tc>
      </w:tr>
    </w:tbl>
    <w:p>
      <w:pPr>
        <w:spacing w:after="0" w:line="22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The above tables include 5,714 and 14,777 non-vested shares at October 31, 2021 and 2020, respectively, which are included in the number of weighted average shares outstanding used to determine basic and diluted earnings per share attributable to REX common shareholders. Such shares are treated, for</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21" w:name="page22"/>
    <w:bookmarkEnd w:id="21"/>
    <w:p>
      <w:pPr>
        <w:spacing w:after="0" w:line="250" w:lineRule="auto"/>
        <w:rPr>
          <w:sz w:val="20"/>
          <w:szCs w:val="20"/>
          <w:color w:val="auto"/>
        </w:rPr>
      </w:pPr>
      <w:r>
        <w:rPr>
          <w:rFonts w:ascii="Arial" w:cs="Arial" w:eastAsia="Arial" w:hAnsi="Arial"/>
          <w:sz w:val="22"/>
          <w:szCs w:val="22"/>
          <w:color w:val="auto"/>
        </w:rPr>
        <w:t>accounting purposes, as being fully vested at the grant date as they were granted to recipients who were retirement eligible at the time of grant.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Prior to the third quarter of fiscal year 2021, 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nine months ended October 31, 2020. Beginning on November 18, 2021, we are unable to earn additional tax credits related to the refined coal facility, and as such, have ceased operations of that facility. As earning these credits is what had caused the significant changes in the estimated annual effective tax rate from small changes in estimated “ordinary” income and we have now classified the refined coal segment as discontinued operations, we have returned to using the annual effective tax rate method to calculate the provision or benefit for income taxes from continuing operations beginning in the three and nine month periods ended October 31, 2021.</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The Company’s income tax provision from continuing operations was approximately $4.3 million and approximately $5.0 million for the three months ended October 31, 2021 and 2020, respectively. The Company’s income tax provision (benefit) from continuing operations was approximately $8.3 million and approximately $(0.4) million for the nine months ended October 31, 2021 and 2020, respectively. The Company’s income tax provision for the third quarter of fiscal year 2020 included a provision of approximately $1.8 million related to reversing previously recognized tax benefits associated with the lengthening of a net operating loss carryback allowed by the CARES Act as the Company no longer had a year to date estimated taxable loss.</w:t>
      </w:r>
    </w:p>
    <w:p>
      <w:pPr>
        <w:spacing w:after="0" w:line="177"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The Company’s income tax benefit from discontinued operations was approximately $4.9 million and approximately $1.0 million for the three months ended October 31, 2021 and 2020, respectively. The Company’s income tax benefit from discontinued operations was approximately $12.6 million and $4.9 million for the nine months ended October 31, 2021 and 2020, respectively. The benefit is derived from the level of tax credits generated from the refined coal business and the tax benefit of the loss from operations. Through its refined coal business, the Company earned production tax credits pursuant to IRC Section 45. The credits can be used to reduce future income tax liabilities for up to 20 years.</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Company assessed all available positive and negative evidence to determine whether it expects sufficient future taxable income will be generated to allow for the realization of existing federal deferred tax assets. The Company ceased operation of its refined coal business on November 18, 2021. There is sufficient objectively verifiable income for management to conclude that it is more likely than not that the Company will utilize available federal deferred tax assets prior to their expiration.</w:t>
      </w:r>
    </w:p>
    <w:p>
      <w:pPr>
        <w:spacing w:after="0" w:line="170"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212"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2" w:name="page23"/>
    <w:bookmarkEnd w:id="22"/>
    <w:p>
      <w:pPr>
        <w:jc w:val="both"/>
        <w:ind w:right="560"/>
        <w:spacing w:after="0"/>
        <w:rPr>
          <w:sz w:val="20"/>
          <w:szCs w:val="20"/>
          <w:color w:val="auto"/>
        </w:rPr>
      </w:pPr>
      <w:r>
        <w:rPr>
          <w:rFonts w:ascii="Arial" w:cs="Arial" w:eastAsia="Arial" w:hAnsi="Arial"/>
          <w:sz w:val="22"/>
          <w:szCs w:val="22"/>
          <w:color w:val="auto"/>
        </w:rPr>
        <w:t>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10"/>
          </w:tcPr>
          <w:p>
            <w:pPr>
              <w:jc w:val="center"/>
              <w:ind w:right="180"/>
              <w:spacing w:after="0"/>
              <w:rPr>
                <w:sz w:val="20"/>
                <w:szCs w:val="20"/>
                <w:color w:val="auto"/>
              </w:rPr>
            </w:pPr>
            <w:r>
              <w:rPr>
                <w:rFonts w:ascii="Arial" w:cs="Arial" w:eastAsia="Arial" w:hAnsi="Arial"/>
                <w:sz w:val="22"/>
                <w:szCs w:val="22"/>
                <w:b w:val="1"/>
                <w:bCs w:val="1"/>
                <w:color w:val="auto"/>
                <w:w w:val="89"/>
              </w:rPr>
              <w:t>Nine Months Ended</w:t>
            </w:r>
          </w:p>
        </w:tc>
      </w:tr>
      <w:tr>
        <w:trPr>
          <w:trHeight w:val="256"/>
        </w:trPr>
        <w:tc>
          <w:tcPr>
            <w:tcW w:w="4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60" w:type="dxa"/>
            <w:vAlign w:val="bottom"/>
            <w:gridSpan w:val="9"/>
          </w:tcPr>
          <w:p>
            <w:pPr>
              <w:jc w:val="center"/>
              <w:ind w:right="240"/>
              <w:spacing w:after="0"/>
              <w:rPr>
                <w:sz w:val="20"/>
                <w:szCs w:val="20"/>
                <w:color w:val="auto"/>
              </w:rPr>
            </w:pPr>
            <w:r>
              <w:rPr>
                <w:rFonts w:ascii="Arial" w:cs="Arial" w:eastAsia="Arial" w:hAnsi="Arial"/>
                <w:sz w:val="22"/>
                <w:szCs w:val="22"/>
                <w:b w:val="1"/>
                <w:bCs w:val="1"/>
                <w:color w:val="auto"/>
                <w:w w:val="89"/>
              </w:rPr>
              <w:t>October 31,</w:t>
            </w:r>
          </w:p>
        </w:tc>
      </w:tr>
      <w:tr>
        <w:trPr>
          <w:trHeight w:val="230"/>
        </w:trPr>
        <w:tc>
          <w:tcPr>
            <w:tcW w:w="4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8"/>
              </w:rPr>
              <w:t>2021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89"/>
              </w:rPr>
              <w:t>2020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4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9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6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8,400</w:t>
            </w:r>
          </w:p>
        </w:tc>
        <w:tc>
          <w:tcPr>
            <w:tcW w:w="46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7,370</w:t>
            </w:r>
          </w:p>
        </w:tc>
        <w:tc>
          <w:tcPr>
            <w:tcW w:w="60" w:type="dxa"/>
            <w:vAlign w:val="bottom"/>
            <w:shd w:val="clear" w:color="auto" w:fill="E5FFFF"/>
          </w:tcPr>
          <w:p>
            <w:pPr>
              <w:spacing w:after="0"/>
              <w:rPr>
                <w:sz w:val="21"/>
                <w:szCs w:val="21"/>
                <w:color w:val="auto"/>
              </w:rPr>
            </w:pPr>
          </w:p>
        </w:tc>
      </w:tr>
      <w:tr>
        <w:trPr>
          <w:trHeight w:val="243"/>
        </w:trPr>
        <w:tc>
          <w:tcPr>
            <w:tcW w:w="490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(57)</w:t>
            </w:r>
          </w:p>
        </w:tc>
        <w:tc>
          <w:tcPr>
            <w:tcW w:w="60" w:type="dxa"/>
            <w:vAlign w:val="bottom"/>
          </w:tcPr>
          <w:p>
            <w:pPr>
              <w:spacing w:after="0"/>
              <w:rPr>
                <w:sz w:val="21"/>
                <w:szCs w:val="21"/>
                <w:color w:val="auto"/>
              </w:rPr>
            </w:pPr>
          </w:p>
        </w:tc>
      </w:tr>
      <w:tr>
        <w:trPr>
          <w:trHeight w:val="257"/>
        </w:trPr>
        <w:tc>
          <w:tcPr>
            <w:tcW w:w="490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8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22"/>
                <w:szCs w:val="22"/>
                <w:color w:val="auto"/>
              </w:rPr>
              <w:t>413</w:t>
            </w:r>
          </w:p>
        </w:tc>
        <w:tc>
          <w:tcPr>
            <w:tcW w:w="4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6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60" w:type="dxa"/>
            <w:vAlign w:val="bottom"/>
            <w:shd w:val="clear" w:color="auto" w:fill="E5FFFF"/>
          </w:tcPr>
          <w:p>
            <w:pPr>
              <w:spacing w:after="0"/>
              <w:rPr>
                <w:sz w:val="22"/>
                <w:szCs w:val="22"/>
                <w:color w:val="auto"/>
              </w:rPr>
            </w:pPr>
          </w:p>
        </w:tc>
      </w:tr>
      <w:tr>
        <w:trPr>
          <w:trHeight w:val="243"/>
        </w:trPr>
        <w:tc>
          <w:tcPr>
            <w:tcW w:w="4900" w:type="dxa"/>
            <w:vAlign w:val="bottom"/>
          </w:tcPr>
          <w:p>
            <w:pPr>
              <w:spacing w:after="0" w:line="237" w:lineRule="exact"/>
              <w:rPr>
                <w:sz w:val="20"/>
                <w:szCs w:val="20"/>
                <w:color w:val="auto"/>
              </w:rPr>
            </w:pPr>
            <w:r>
              <w:rPr>
                <w:rFonts w:ascii="Arial" w:cs="Arial" w:eastAsia="Arial" w:hAnsi="Arial"/>
                <w:sz w:val="22"/>
                <w:szCs w:val="22"/>
                <w:color w:val="auto"/>
              </w:rPr>
              <w:t>Unrecognized tax benefits, end of period</w:t>
            </w:r>
          </w:p>
        </w:tc>
        <w:tc>
          <w:tcPr>
            <w:tcW w:w="8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Borders>
              <w:bottom w:val="single" w:sz="8" w:color="auto"/>
            </w:tcBorders>
            <w:gridSpan w:val="3"/>
          </w:tcPr>
          <w:p>
            <w:pPr>
              <w:jc w:val="right"/>
              <w:spacing w:after="0" w:line="237" w:lineRule="exact"/>
              <w:rPr>
                <w:sz w:val="20"/>
                <w:szCs w:val="20"/>
                <w:color w:val="auto"/>
              </w:rPr>
            </w:pPr>
            <w:r>
              <w:rPr>
                <w:rFonts w:ascii="Arial" w:cs="Arial" w:eastAsia="Arial" w:hAnsi="Arial"/>
                <w:sz w:val="22"/>
                <w:szCs w:val="22"/>
                <w:color w:val="auto"/>
              </w:rPr>
              <w:t>8,828</w:t>
            </w:r>
          </w:p>
        </w:tc>
        <w:tc>
          <w:tcPr>
            <w:tcW w:w="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tcBorders>
              <w:bottom w:val="single" w:sz="8" w:color="auto"/>
            </w:tcBorders>
            <w:gridSpan w:val="3"/>
          </w:tcPr>
          <w:p>
            <w:pPr>
              <w:jc w:val="right"/>
              <w:spacing w:after="0" w:line="237" w:lineRule="exact"/>
              <w:rPr>
                <w:sz w:val="20"/>
                <w:szCs w:val="20"/>
                <w:color w:val="auto"/>
              </w:rPr>
            </w:pPr>
            <w:r>
              <w:rPr>
                <w:rFonts w:ascii="Arial" w:cs="Arial" w:eastAsia="Arial" w:hAnsi="Arial"/>
                <w:sz w:val="22"/>
                <w:szCs w:val="22"/>
                <w:color w:val="auto"/>
              </w:rPr>
              <w:t>7,313</w:t>
            </w:r>
          </w:p>
        </w:tc>
        <w:tc>
          <w:tcPr>
            <w:tcW w:w="60" w:type="dxa"/>
            <w:vAlign w:val="bottom"/>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Discontinued Operations</w:t>
      </w:r>
    </w:p>
    <w:p>
      <w:pPr>
        <w:spacing w:after="0" w:line="23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On November 18, 2021, the Company ceased operation of its refined coal business as tax credits could no longer be earned on its operation. Beginning in the third quarter of fiscal year 2021, the results of the operations of the refined coal business will be recognized as discontinued operations. Below is a table reflecting certain items of the Consolidated Condensed Statement of Operations that were reclassified as discontinued operations for the periods indicated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7"/>
          </w:tcPr>
          <w:p>
            <w:pPr>
              <w:jc w:val="right"/>
              <w:ind w:right="100"/>
              <w:spacing w:after="0"/>
              <w:rPr>
                <w:sz w:val="20"/>
                <w:szCs w:val="20"/>
                <w:color w:val="auto"/>
              </w:rPr>
            </w:pPr>
            <w:r>
              <w:rPr>
                <w:rFonts w:ascii="Arial" w:cs="Arial" w:eastAsia="Arial" w:hAnsi="Arial"/>
                <w:sz w:val="22"/>
                <w:szCs w:val="22"/>
                <w:b w:val="1"/>
                <w:bCs w:val="1"/>
                <w:color w:val="auto"/>
                <w:w w:val="89"/>
              </w:rPr>
              <w:t>Three Months Ended</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9"/>
          </w:tcPr>
          <w:p>
            <w:pPr>
              <w:jc w:val="center"/>
              <w:ind w:right="240"/>
              <w:spacing w:after="0"/>
              <w:rPr>
                <w:sz w:val="20"/>
                <w:szCs w:val="20"/>
                <w:color w:val="auto"/>
              </w:rPr>
            </w:pPr>
            <w:r>
              <w:rPr>
                <w:rFonts w:ascii="Arial" w:cs="Arial" w:eastAsia="Arial" w:hAnsi="Arial"/>
                <w:sz w:val="22"/>
                <w:szCs w:val="22"/>
                <w:b w:val="1"/>
                <w:bCs w:val="1"/>
                <w:color w:val="auto"/>
                <w:w w:val="89"/>
              </w:rPr>
              <w:t>Nine Months Ended</w:t>
            </w:r>
          </w:p>
        </w:tc>
      </w:tr>
      <w:tr>
        <w:trPr>
          <w:trHeight w:val="257"/>
        </w:trPr>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22"/>
                <w:szCs w:val="22"/>
                <w:b w:val="1"/>
                <w:bCs w:val="1"/>
                <w:color w:val="auto"/>
              </w:rPr>
              <w:t>October 31,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gridSpan w:val="8"/>
          </w:tcPr>
          <w:p>
            <w:pPr>
              <w:jc w:val="center"/>
              <w:ind w:right="320"/>
              <w:spacing w:after="0"/>
              <w:rPr>
                <w:sz w:val="20"/>
                <w:szCs w:val="20"/>
                <w:color w:val="auto"/>
              </w:rPr>
            </w:pPr>
            <w:r>
              <w:rPr>
                <w:rFonts w:ascii="Arial" w:cs="Arial" w:eastAsia="Arial" w:hAnsi="Arial"/>
                <w:sz w:val="22"/>
                <w:szCs w:val="22"/>
                <w:b w:val="1"/>
                <w:bCs w:val="1"/>
                <w:color w:val="auto"/>
                <w:w w:val="89"/>
              </w:rPr>
              <w:t>October 31,</w:t>
            </w:r>
          </w:p>
        </w:tc>
      </w:tr>
      <w:tr>
        <w:trPr>
          <w:trHeight w:val="230"/>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220"/>
              <w:spacing w:after="0" w:line="230" w:lineRule="exact"/>
              <w:rPr>
                <w:sz w:val="20"/>
                <w:szCs w:val="20"/>
                <w:color w:val="auto"/>
              </w:rPr>
            </w:pPr>
            <w:r>
              <w:rPr>
                <w:rFonts w:ascii="Arial" w:cs="Arial" w:eastAsia="Arial" w:hAnsi="Arial"/>
                <w:sz w:val="22"/>
                <w:szCs w:val="22"/>
                <w:b w:val="1"/>
                <w:bCs w:val="1"/>
                <w:color w:val="auto"/>
                <w:w w:val="81"/>
              </w:rPr>
              <w:t>2020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200"/>
              <w:spacing w:after="0" w:line="230" w:lineRule="exact"/>
              <w:rPr>
                <w:sz w:val="20"/>
                <w:szCs w:val="20"/>
                <w:color w:val="auto"/>
              </w:rPr>
            </w:pPr>
            <w:r>
              <w:rPr>
                <w:rFonts w:ascii="Arial" w:cs="Arial" w:eastAsia="Arial" w:hAnsi="Arial"/>
                <w:sz w:val="22"/>
                <w:szCs w:val="22"/>
                <w:b w:val="1"/>
                <w:bCs w:val="1"/>
                <w:color w:val="auto"/>
              </w:rPr>
              <w:t>2021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3"/>
              </w:rPr>
              <w:t>2020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7"/>
        </w:trPr>
        <w:tc>
          <w:tcPr>
            <w:tcW w:w="5560" w:type="dxa"/>
            <w:vAlign w:val="bottom"/>
            <w:shd w:val="clear" w:color="auto" w:fill="E5FFFF"/>
          </w:tcPr>
          <w:p>
            <w:pPr>
              <w:spacing w:after="0" w:line="297" w:lineRule="exact"/>
              <w:rPr>
                <w:sz w:val="20"/>
                <w:szCs w:val="20"/>
                <w:color w:val="auto"/>
              </w:rPr>
            </w:pPr>
            <w:r>
              <w:rPr>
                <w:rFonts w:ascii="Arial" w:cs="Arial" w:eastAsia="Arial" w:hAnsi="Arial"/>
                <w:sz w:val="21"/>
                <w:szCs w:val="21"/>
                <w:color w:val="auto"/>
              </w:rPr>
              <w:t>Net sales and revenue</w:t>
            </w:r>
            <w:r>
              <w:rPr>
                <w:rFonts w:ascii="Arial" w:cs="Arial" w:eastAsia="Arial" w:hAnsi="Arial"/>
                <w:sz w:val="34"/>
                <w:szCs w:val="34"/>
                <w:color w:val="auto"/>
                <w:vertAlign w:val="superscript"/>
              </w:rPr>
              <w:t>1</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180" w:type="dxa"/>
            <w:vAlign w:val="bottom"/>
            <w:gridSpan w:val="4"/>
            <w:shd w:val="clear" w:color="auto" w:fill="E5FFFF"/>
          </w:tcPr>
          <w:p>
            <w:pPr>
              <w:jc w:val="right"/>
              <w:ind w:right="420"/>
              <w:spacing w:after="0"/>
              <w:rPr>
                <w:sz w:val="20"/>
                <w:szCs w:val="20"/>
                <w:color w:val="auto"/>
              </w:rPr>
            </w:pPr>
            <w:r>
              <w:rPr>
                <w:rFonts w:ascii="Arial" w:cs="Arial" w:eastAsia="Arial" w:hAnsi="Arial"/>
                <w:sz w:val="22"/>
                <w:szCs w:val="22"/>
                <w:color w:val="auto"/>
              </w:rPr>
              <w:t>151</w:t>
            </w:r>
          </w:p>
        </w:tc>
        <w:tc>
          <w:tcPr>
            <w:tcW w:w="240" w:type="dxa"/>
            <w:vAlign w:val="bottom"/>
            <w:shd w:val="clear" w:color="auto" w:fill="E5FFFF"/>
          </w:tcPr>
          <w:p>
            <w:pPr>
              <w:jc w:val="right"/>
              <w:ind w:right="12"/>
              <w:spacing w:after="0"/>
              <w:rPr>
                <w:sz w:val="20"/>
                <w:szCs w:val="20"/>
                <w:color w:val="auto"/>
              </w:rPr>
            </w:pPr>
            <w:r>
              <w:rPr>
                <w:rFonts w:ascii="Arial" w:cs="Arial" w:eastAsia="Arial" w:hAnsi="Arial"/>
                <w:sz w:val="22"/>
                <w:szCs w:val="22"/>
                <w:color w:val="auto"/>
                <w:w w:val="81"/>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34</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4"/>
            <w:shd w:val="clear" w:color="auto" w:fill="E5FFFF"/>
          </w:tcPr>
          <w:p>
            <w:pPr>
              <w:jc w:val="right"/>
              <w:ind w:right="400"/>
              <w:spacing w:after="0"/>
              <w:rPr>
                <w:sz w:val="20"/>
                <w:szCs w:val="20"/>
                <w:color w:val="auto"/>
              </w:rPr>
            </w:pPr>
            <w:r>
              <w:rPr>
                <w:rFonts w:ascii="Arial" w:cs="Arial" w:eastAsia="Arial" w:hAnsi="Arial"/>
                <w:sz w:val="22"/>
                <w:szCs w:val="22"/>
                <w:color w:val="auto"/>
              </w:rPr>
              <w:t>377</w:t>
            </w:r>
          </w:p>
        </w:tc>
        <w:tc>
          <w:tcPr>
            <w:tcW w:w="16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134</w:t>
            </w:r>
          </w:p>
        </w:tc>
        <w:tc>
          <w:tcPr>
            <w:tcW w:w="100" w:type="dxa"/>
            <w:vAlign w:val="bottom"/>
            <w:shd w:val="clear" w:color="auto" w:fill="E5FFFF"/>
          </w:tcPr>
          <w:p>
            <w:pPr>
              <w:spacing w:after="0"/>
              <w:rPr>
                <w:sz w:val="24"/>
                <w:szCs w:val="24"/>
                <w:color w:val="auto"/>
              </w:rPr>
            </w:pPr>
          </w:p>
        </w:tc>
      </w:tr>
      <w:tr>
        <w:trPr>
          <w:trHeight w:val="256"/>
        </w:trPr>
        <w:tc>
          <w:tcPr>
            <w:tcW w:w="5560" w:type="dxa"/>
            <w:vAlign w:val="bottom"/>
          </w:tcPr>
          <w:p>
            <w:pPr>
              <w:spacing w:after="0"/>
              <w:rPr>
                <w:sz w:val="20"/>
                <w:szCs w:val="20"/>
                <w:color w:val="auto"/>
              </w:rPr>
            </w:pPr>
            <w:r>
              <w:rPr>
                <w:rFonts w:ascii="Arial" w:cs="Arial" w:eastAsia="Arial" w:hAnsi="Arial"/>
                <w:sz w:val="22"/>
                <w:szCs w:val="22"/>
                <w:color w:val="auto"/>
              </w:rPr>
              <w:t>Cost of Sales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4"/>
          </w:tcPr>
          <w:p>
            <w:pPr>
              <w:jc w:val="right"/>
              <w:ind w:right="420"/>
              <w:spacing w:after="0"/>
              <w:rPr>
                <w:sz w:val="20"/>
                <w:szCs w:val="20"/>
                <w:color w:val="auto"/>
              </w:rPr>
            </w:pPr>
            <w:r>
              <w:rPr>
                <w:rFonts w:ascii="Arial" w:cs="Arial" w:eastAsia="Arial" w:hAnsi="Arial"/>
                <w:sz w:val="22"/>
                <w:szCs w:val="22"/>
                <w:color w:val="auto"/>
              </w:rPr>
              <w:t>3,033</w:t>
            </w:r>
          </w:p>
        </w:tc>
        <w:tc>
          <w:tcPr>
            <w:tcW w:w="2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1,284</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22"/>
                <w:szCs w:val="22"/>
                <w:color w:val="auto"/>
              </w:rPr>
              <w:t>8,015</w:t>
            </w:r>
          </w:p>
        </w:tc>
        <w:tc>
          <w:tcPr>
            <w:tcW w:w="1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4,375</w:t>
            </w:r>
          </w:p>
        </w:tc>
        <w:tc>
          <w:tcPr>
            <w:tcW w:w="100" w:type="dxa"/>
            <w:vAlign w:val="bottom"/>
          </w:tcPr>
          <w:p>
            <w:pPr>
              <w:spacing w:after="0"/>
              <w:rPr>
                <w:sz w:val="22"/>
                <w:szCs w:val="22"/>
                <w:color w:val="auto"/>
              </w:rPr>
            </w:pPr>
          </w:p>
        </w:tc>
      </w:tr>
      <w:tr>
        <w:trPr>
          <w:trHeight w:val="237"/>
        </w:trPr>
        <w:tc>
          <w:tcPr>
            <w:tcW w:w="55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Gross loss</w:t>
            </w:r>
          </w:p>
        </w:tc>
        <w:tc>
          <w:tcPr>
            <w:tcW w:w="3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(2,882)</w:t>
            </w:r>
          </w:p>
        </w:tc>
        <w:tc>
          <w:tcPr>
            <w:tcW w:w="420" w:type="dxa"/>
            <w:vAlign w:val="bottom"/>
            <w:tcBorders>
              <w:top w:val="single" w:sz="8" w:color="E5FFFF"/>
            </w:tcBorders>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rPr>
                <w:sz w:val="20"/>
                <w:szCs w:val="20"/>
                <w:color w:val="auto"/>
              </w:rPr>
            </w:pPr>
          </w:p>
        </w:tc>
        <w:tc>
          <w:tcPr>
            <w:tcW w:w="64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w w:val="88"/>
              </w:rPr>
              <w:t>(1,250)</w:t>
            </w:r>
          </w:p>
        </w:tc>
        <w:tc>
          <w:tcPr>
            <w:tcW w:w="4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72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(7,638)</w:t>
            </w:r>
          </w:p>
        </w:tc>
        <w:tc>
          <w:tcPr>
            <w:tcW w:w="40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w w:val="97"/>
              </w:rPr>
              <w:t>(4,241)</w:t>
            </w:r>
          </w:p>
        </w:tc>
        <w:tc>
          <w:tcPr>
            <w:tcW w:w="100" w:type="dxa"/>
            <w:vAlign w:val="bottom"/>
            <w:tcBorders>
              <w:top w:val="single" w:sz="8" w:color="E5FFFF"/>
            </w:tcBorders>
            <w:shd w:val="clear" w:color="auto" w:fill="E5FFFF"/>
          </w:tcPr>
          <w:p>
            <w:pPr>
              <w:spacing w:after="0"/>
              <w:rPr>
                <w:sz w:val="20"/>
                <w:szCs w:val="20"/>
                <w:color w:val="auto"/>
              </w:rPr>
            </w:pPr>
          </w:p>
        </w:tc>
      </w:tr>
      <w:tr>
        <w:trPr>
          <w:trHeight w:val="256"/>
        </w:trPr>
        <w:tc>
          <w:tcPr>
            <w:tcW w:w="5560" w:type="dxa"/>
            <w:vAlign w:val="bottom"/>
          </w:tcPr>
          <w:p>
            <w:pPr>
              <w:spacing w:after="0"/>
              <w:rPr>
                <w:sz w:val="20"/>
                <w:szCs w:val="20"/>
                <w:color w:val="auto"/>
              </w:rPr>
            </w:pPr>
            <w:r>
              <w:rPr>
                <w:rFonts w:ascii="Arial" w:cs="Arial" w:eastAsia="Arial" w:hAnsi="Arial"/>
                <w:sz w:val="22"/>
                <w:szCs w:val="22"/>
                <w:color w:val="auto"/>
              </w:rPr>
              <w:t>Selling, general and administrative</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4"/>
          </w:tcPr>
          <w:p>
            <w:pPr>
              <w:jc w:val="right"/>
              <w:ind w:right="420"/>
              <w:spacing w:after="0"/>
              <w:rPr>
                <w:sz w:val="20"/>
                <w:szCs w:val="20"/>
                <w:color w:val="auto"/>
              </w:rPr>
            </w:pPr>
            <w:r>
              <w:rPr>
                <w:rFonts w:ascii="Arial" w:cs="Arial" w:eastAsia="Arial" w:hAnsi="Arial"/>
                <w:sz w:val="22"/>
                <w:szCs w:val="22"/>
                <w:color w:val="auto"/>
              </w:rPr>
              <w:t>230</w:t>
            </w:r>
          </w:p>
        </w:tc>
        <w:tc>
          <w:tcPr>
            <w:tcW w:w="2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22"/>
                <w:szCs w:val="22"/>
                <w:color w:val="auto"/>
              </w:rPr>
              <w:t>665</w:t>
            </w:r>
          </w:p>
        </w:tc>
        <w:tc>
          <w:tcPr>
            <w:tcW w:w="1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(107)</w:t>
            </w:r>
          </w:p>
        </w:tc>
        <w:tc>
          <w:tcPr>
            <w:tcW w:w="100" w:type="dxa"/>
            <w:vAlign w:val="bottom"/>
          </w:tcPr>
          <w:p>
            <w:pPr>
              <w:spacing w:after="0"/>
              <w:rPr>
                <w:sz w:val="22"/>
                <w:szCs w:val="22"/>
                <w:color w:val="auto"/>
              </w:rPr>
            </w:pPr>
          </w:p>
        </w:tc>
      </w:tr>
      <w:tr>
        <w:trPr>
          <w:trHeight w:val="237"/>
        </w:trPr>
        <w:tc>
          <w:tcPr>
            <w:tcW w:w="55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Income before income taxes</w:t>
            </w:r>
          </w:p>
        </w:tc>
        <w:tc>
          <w:tcPr>
            <w:tcW w:w="3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(3,112)</w:t>
            </w:r>
          </w:p>
        </w:tc>
        <w:tc>
          <w:tcPr>
            <w:tcW w:w="420" w:type="dxa"/>
            <w:vAlign w:val="bottom"/>
            <w:tcBorders>
              <w:top w:val="single" w:sz="8" w:color="E5FFFF"/>
            </w:tcBorders>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rPr>
                <w:sz w:val="20"/>
                <w:szCs w:val="20"/>
                <w:color w:val="auto"/>
              </w:rPr>
            </w:pPr>
          </w:p>
        </w:tc>
        <w:tc>
          <w:tcPr>
            <w:tcW w:w="64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w w:val="88"/>
              </w:rPr>
              <w:t>(1,238)</w:t>
            </w:r>
          </w:p>
        </w:tc>
        <w:tc>
          <w:tcPr>
            <w:tcW w:w="4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72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(8,303)</w:t>
            </w:r>
          </w:p>
        </w:tc>
        <w:tc>
          <w:tcPr>
            <w:tcW w:w="40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w w:val="97"/>
              </w:rPr>
              <w:t>(4,134)</w:t>
            </w:r>
          </w:p>
        </w:tc>
        <w:tc>
          <w:tcPr>
            <w:tcW w:w="100" w:type="dxa"/>
            <w:vAlign w:val="bottom"/>
            <w:tcBorders>
              <w:top w:val="single" w:sz="8" w:color="E5FFFF"/>
            </w:tcBorders>
            <w:shd w:val="clear" w:color="auto" w:fill="E5FFFF"/>
          </w:tcPr>
          <w:p>
            <w:pPr>
              <w:spacing w:after="0"/>
              <w:rPr>
                <w:sz w:val="20"/>
                <w:szCs w:val="20"/>
                <w:color w:val="auto"/>
              </w:rPr>
            </w:pPr>
          </w:p>
        </w:tc>
      </w:tr>
      <w:tr>
        <w:trPr>
          <w:trHeight w:val="256"/>
        </w:trPr>
        <w:tc>
          <w:tcPr>
            <w:tcW w:w="5560" w:type="dxa"/>
            <w:vAlign w:val="bottom"/>
          </w:tcPr>
          <w:p>
            <w:pPr>
              <w:spacing w:after="0"/>
              <w:rPr>
                <w:sz w:val="20"/>
                <w:szCs w:val="20"/>
                <w:color w:val="auto"/>
              </w:rPr>
            </w:pPr>
            <w:r>
              <w:rPr>
                <w:rFonts w:ascii="Arial" w:cs="Arial" w:eastAsia="Arial" w:hAnsi="Arial"/>
                <w:sz w:val="22"/>
                <w:szCs w:val="22"/>
                <w:color w:val="auto"/>
              </w:rPr>
              <w:t>Benefit for income taxes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4"/>
          </w:tcPr>
          <w:p>
            <w:pPr>
              <w:jc w:val="right"/>
              <w:ind w:right="420"/>
              <w:spacing w:after="0"/>
              <w:rPr>
                <w:sz w:val="20"/>
                <w:szCs w:val="20"/>
                <w:color w:val="auto"/>
              </w:rPr>
            </w:pPr>
            <w:r>
              <w:rPr>
                <w:rFonts w:ascii="Arial" w:cs="Arial" w:eastAsia="Arial" w:hAnsi="Arial"/>
                <w:sz w:val="22"/>
                <w:szCs w:val="22"/>
                <w:color w:val="auto"/>
              </w:rPr>
              <w:t>4,927</w:t>
            </w:r>
          </w:p>
        </w:tc>
        <w:tc>
          <w:tcPr>
            <w:tcW w:w="2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985</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22"/>
                <w:szCs w:val="22"/>
                <w:color w:val="auto"/>
              </w:rPr>
              <w:t>12,566</w:t>
            </w:r>
          </w:p>
        </w:tc>
        <w:tc>
          <w:tcPr>
            <w:tcW w:w="1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4,863</w:t>
            </w:r>
          </w:p>
        </w:tc>
        <w:tc>
          <w:tcPr>
            <w:tcW w:w="100" w:type="dxa"/>
            <w:vAlign w:val="bottom"/>
          </w:tcPr>
          <w:p>
            <w:pPr>
              <w:spacing w:after="0"/>
              <w:rPr>
                <w:sz w:val="22"/>
                <w:szCs w:val="22"/>
                <w:color w:val="auto"/>
              </w:rPr>
            </w:pPr>
          </w:p>
        </w:tc>
      </w:tr>
      <w:tr>
        <w:trPr>
          <w:trHeight w:val="237"/>
        </w:trPr>
        <w:tc>
          <w:tcPr>
            <w:tcW w:w="55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income from discontinued operations, net of tax</w:t>
            </w:r>
          </w:p>
        </w:tc>
        <w:tc>
          <w:tcPr>
            <w:tcW w:w="3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1,815</w:t>
            </w:r>
          </w:p>
        </w:tc>
        <w:tc>
          <w:tcPr>
            <w:tcW w:w="420" w:type="dxa"/>
            <w:vAlign w:val="bottom"/>
            <w:tcBorders>
              <w:top w:val="single" w:sz="8" w:color="E5FFFF"/>
            </w:tcBorders>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rPr>
                <w:sz w:val="20"/>
                <w:szCs w:val="20"/>
                <w:color w:val="auto"/>
              </w:rPr>
            </w:pPr>
          </w:p>
        </w:tc>
        <w:tc>
          <w:tcPr>
            <w:tcW w:w="64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(253)</w:t>
            </w:r>
          </w:p>
        </w:tc>
        <w:tc>
          <w:tcPr>
            <w:tcW w:w="4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72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4,263</w:t>
            </w:r>
          </w:p>
        </w:tc>
        <w:tc>
          <w:tcPr>
            <w:tcW w:w="40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0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729</w:t>
            </w:r>
          </w:p>
        </w:tc>
        <w:tc>
          <w:tcPr>
            <w:tcW w:w="100" w:type="dxa"/>
            <w:vAlign w:val="bottom"/>
            <w:tcBorders>
              <w:top w:val="single" w:sz="8" w:color="E5FFFF"/>
            </w:tcBorders>
            <w:shd w:val="clear" w:color="auto" w:fill="E5FFFF"/>
          </w:tcPr>
          <w:p>
            <w:pPr>
              <w:spacing w:after="0"/>
              <w:rPr>
                <w:sz w:val="20"/>
                <w:szCs w:val="20"/>
                <w:color w:val="auto"/>
              </w:rPr>
            </w:pPr>
          </w:p>
        </w:tc>
      </w:tr>
      <w:tr>
        <w:trPr>
          <w:trHeight w:val="257"/>
        </w:trPr>
        <w:tc>
          <w:tcPr>
            <w:tcW w:w="5560" w:type="dxa"/>
            <w:vAlign w:val="bottom"/>
          </w:tcPr>
          <w:p>
            <w:pPr>
              <w:spacing w:after="0"/>
              <w:rPr>
                <w:sz w:val="20"/>
                <w:szCs w:val="20"/>
                <w:color w:val="auto"/>
              </w:rPr>
            </w:pPr>
            <w:r>
              <w:rPr>
                <w:rFonts w:ascii="Arial" w:cs="Arial" w:eastAsia="Arial" w:hAnsi="Arial"/>
                <w:sz w:val="22"/>
                <w:szCs w:val="22"/>
                <w:color w:val="auto"/>
              </w:rPr>
              <w:t>Net loss attributable to noncontrolling interests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4"/>
          </w:tcPr>
          <w:p>
            <w:pPr>
              <w:jc w:val="right"/>
              <w:ind w:right="420"/>
              <w:spacing w:after="0"/>
              <w:rPr>
                <w:sz w:val="20"/>
                <w:szCs w:val="20"/>
                <w:color w:val="auto"/>
              </w:rPr>
            </w:pPr>
            <w:r>
              <w:rPr>
                <w:rFonts w:ascii="Arial" w:cs="Arial" w:eastAsia="Arial" w:hAnsi="Arial"/>
                <w:sz w:val="22"/>
                <w:szCs w:val="22"/>
                <w:color w:val="auto"/>
              </w:rPr>
              <w:t>137</w:t>
            </w:r>
          </w:p>
        </w:tc>
        <w:tc>
          <w:tcPr>
            <w:tcW w:w="2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58</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22"/>
                <w:szCs w:val="22"/>
                <w:color w:val="auto"/>
              </w:rPr>
              <w:t>370</w:t>
            </w:r>
          </w:p>
        </w:tc>
        <w:tc>
          <w:tcPr>
            <w:tcW w:w="1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22"/>
                <w:szCs w:val="22"/>
                <w:color w:val="auto"/>
              </w:rPr>
              <w:t>193</w:t>
            </w:r>
          </w:p>
        </w:tc>
        <w:tc>
          <w:tcPr>
            <w:tcW w:w="100" w:type="dxa"/>
            <w:vAlign w:val="bottom"/>
          </w:tcPr>
          <w:p>
            <w:pPr>
              <w:spacing w:after="0"/>
              <w:rPr>
                <w:sz w:val="22"/>
                <w:szCs w:val="22"/>
                <w:color w:val="auto"/>
              </w:rPr>
            </w:pPr>
          </w:p>
        </w:tc>
      </w:tr>
      <w:tr>
        <w:trPr>
          <w:trHeight w:val="243"/>
        </w:trPr>
        <w:tc>
          <w:tcPr>
            <w:tcW w:w="556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w w:val="94"/>
              </w:rPr>
              <w:t>Net income (loss) attributable to REX common shareholders</w:t>
            </w:r>
          </w:p>
        </w:tc>
        <w:tc>
          <w:tcPr>
            <w:tcW w:w="32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1,952</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12"/>
              <w:spacing w:after="0" w:line="237" w:lineRule="exact"/>
              <w:rPr>
                <w:sz w:val="20"/>
                <w:szCs w:val="20"/>
                <w:color w:val="auto"/>
              </w:rPr>
            </w:pPr>
            <w:r>
              <w:rPr>
                <w:rFonts w:ascii="Arial" w:cs="Arial" w:eastAsia="Arial" w:hAnsi="Arial"/>
                <w:sz w:val="22"/>
                <w:szCs w:val="22"/>
                <w:color w:val="auto"/>
                <w:w w:val="81"/>
              </w:rPr>
              <w:t>$</w:t>
            </w:r>
          </w:p>
        </w:tc>
        <w:tc>
          <w:tcPr>
            <w:tcW w:w="64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(195)</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4,633</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922</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bl>
    <w:p>
      <w:pPr>
        <w:spacing w:after="0" w:line="276" w:lineRule="exact"/>
        <w:rPr>
          <w:sz w:val="20"/>
          <w:szCs w:val="20"/>
          <w:color w:val="auto"/>
        </w:rPr>
      </w:pPr>
    </w:p>
    <w:p>
      <w:pPr>
        <w:ind w:right="40" w:firstLine="656"/>
        <w:spacing w:after="0" w:line="196" w:lineRule="auto"/>
        <w:tabs>
          <w:tab w:leader="none" w:pos="783" w:val="left"/>
        </w:tabs>
        <w:numPr>
          <w:ilvl w:val="0"/>
          <w:numId w:val="7"/>
        </w:numPr>
        <w:rPr>
          <w:rFonts w:ascii="Arial" w:cs="Arial" w:eastAsia="Arial" w:hAnsi="Arial"/>
          <w:sz w:val="34"/>
          <w:szCs w:val="34"/>
          <w:color w:val="auto"/>
          <w:vertAlign w:val="superscript"/>
        </w:rPr>
      </w:pPr>
      <w:r>
        <w:rPr>
          <w:rFonts w:ascii="Arial" w:cs="Arial" w:eastAsia="Arial" w:hAnsi="Arial"/>
          <w:sz w:val="21"/>
          <w:szCs w:val="21"/>
          <w:color w:val="auto"/>
        </w:rPr>
        <w:t>Refined coal sales were recorded net of the cost of coal as the Company purchased the coal feedstock from the customer to which the processed refined coal was sold.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3" w:name="page24"/>
    <w:bookmarkEnd w:id="23"/>
    <w:p>
      <w:pPr>
        <w:ind w:right="800" w:firstLine="648"/>
        <w:spacing w:after="0" w:line="250" w:lineRule="auto"/>
        <w:rPr>
          <w:sz w:val="20"/>
          <w:szCs w:val="20"/>
          <w:color w:val="auto"/>
        </w:rPr>
      </w:pPr>
      <w:r>
        <w:rPr>
          <w:rFonts w:ascii="Arial" w:cs="Arial" w:eastAsia="Arial" w:hAnsi="Arial"/>
          <w:sz w:val="22"/>
          <w:szCs w:val="22"/>
          <w:color w:val="auto"/>
        </w:rPr>
        <w:t>Below is a table reflecting certain items of the Consolidated Condensed Balance Sheets that were reclassified as discontinued operations for the periods indicated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40" w:type="dxa"/>
            <w:vAlign w:val="bottom"/>
          </w:tcPr>
          <w:p>
            <w:pPr>
              <w:spacing w:after="0"/>
              <w:rPr>
                <w:sz w:val="21"/>
                <w:szCs w:val="21"/>
                <w:color w:val="auto"/>
              </w:rPr>
            </w:pPr>
          </w:p>
        </w:tc>
        <w:tc>
          <w:tcPr>
            <w:tcW w:w="2320" w:type="dxa"/>
            <w:vAlign w:val="bottom"/>
            <w:gridSpan w:val="5"/>
          </w:tcPr>
          <w:p>
            <w:pPr>
              <w:ind w:left="800"/>
              <w:spacing w:after="0"/>
              <w:rPr>
                <w:sz w:val="20"/>
                <w:szCs w:val="20"/>
                <w:color w:val="auto"/>
              </w:rPr>
            </w:pPr>
            <w:r>
              <w:rPr>
                <w:rFonts w:ascii="Arial" w:cs="Arial" w:eastAsia="Arial" w:hAnsi="Arial"/>
                <w:sz w:val="22"/>
                <w:szCs w:val="22"/>
                <w:b w:val="1"/>
                <w:bCs w:val="1"/>
                <w:color w:val="auto"/>
              </w:rPr>
              <w:t>October 31,</w:t>
            </w:r>
          </w:p>
        </w:tc>
        <w:tc>
          <w:tcPr>
            <w:tcW w:w="1720" w:type="dxa"/>
            <w:vAlign w:val="bottom"/>
            <w:gridSpan w:val="6"/>
          </w:tcPr>
          <w:p>
            <w:pPr>
              <w:ind w:left="420"/>
              <w:spacing w:after="0"/>
              <w:rPr>
                <w:sz w:val="20"/>
                <w:szCs w:val="20"/>
                <w:color w:val="auto"/>
              </w:rPr>
            </w:pPr>
            <w:r>
              <w:rPr>
                <w:rFonts w:ascii="Arial" w:cs="Arial" w:eastAsia="Arial" w:hAnsi="Arial"/>
                <w:sz w:val="22"/>
                <w:szCs w:val="22"/>
                <w:b w:val="1"/>
                <w:bCs w:val="1"/>
                <w:color w:val="auto"/>
              </w:rPr>
              <w:t>January 31,</w:t>
            </w:r>
          </w:p>
        </w:tc>
      </w:tr>
      <w:tr>
        <w:trPr>
          <w:trHeight w:val="230"/>
        </w:trPr>
        <w:tc>
          <w:tcPr>
            <w:tcW w:w="4940" w:type="dxa"/>
            <w:vAlign w:val="bottom"/>
          </w:tcPr>
          <w:p>
            <w:pPr>
              <w:spacing w:after="0"/>
              <w:rPr>
                <w:sz w:val="19"/>
                <w:szCs w:val="19"/>
                <w:color w:val="auto"/>
              </w:rPr>
            </w:pPr>
          </w:p>
        </w:tc>
        <w:tc>
          <w:tcPr>
            <w:tcW w:w="1900" w:type="dxa"/>
            <w:vAlign w:val="bottom"/>
            <w:gridSpan w:val="4"/>
          </w:tcPr>
          <w:p>
            <w:pPr>
              <w:jc w:val="right"/>
              <w:ind w:right="360"/>
              <w:spacing w:after="0" w:line="230" w:lineRule="exact"/>
              <w:rPr>
                <w:sz w:val="20"/>
                <w:szCs w:val="20"/>
                <w:color w:val="auto"/>
              </w:rPr>
            </w:pPr>
            <w:r>
              <w:rPr>
                <w:rFonts w:ascii="Arial" w:cs="Arial" w:eastAsia="Arial" w:hAnsi="Arial"/>
                <w:sz w:val="22"/>
                <w:szCs w:val="22"/>
                <w:b w:val="1"/>
                <w:bCs w:val="1"/>
                <w:color w:val="auto"/>
              </w:rPr>
              <w:t>2021</w:t>
            </w:r>
          </w:p>
        </w:tc>
        <w:tc>
          <w:tcPr>
            <w:tcW w:w="420" w:type="dxa"/>
            <w:vAlign w:val="bottom"/>
          </w:tcPr>
          <w:p>
            <w:pPr>
              <w:spacing w:after="0"/>
              <w:rPr>
                <w:sz w:val="19"/>
                <w:szCs w:val="19"/>
                <w:color w:val="auto"/>
              </w:rPr>
            </w:pPr>
          </w:p>
        </w:tc>
        <w:tc>
          <w:tcPr>
            <w:tcW w:w="1180" w:type="dxa"/>
            <w:vAlign w:val="bottom"/>
            <w:gridSpan w:val="4"/>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4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Assets:</w:t>
            </w:r>
          </w:p>
        </w:tc>
        <w:tc>
          <w:tcPr>
            <w:tcW w:w="11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4940" w:type="dxa"/>
            <w:vAlign w:val="bottom"/>
          </w:tcPr>
          <w:p>
            <w:pPr>
              <w:spacing w:after="0" w:line="243" w:lineRule="exact"/>
              <w:rPr>
                <w:sz w:val="20"/>
                <w:szCs w:val="20"/>
                <w:color w:val="auto"/>
              </w:rPr>
            </w:pPr>
            <w:r>
              <w:rPr>
                <w:rFonts w:ascii="Arial" w:cs="Arial" w:eastAsia="Arial" w:hAnsi="Arial"/>
                <w:sz w:val="22"/>
                <w:szCs w:val="22"/>
                <w:color w:val="auto"/>
              </w:rPr>
              <w:t>Current assets:</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940" w:type="dxa"/>
            <w:vAlign w:val="bottom"/>
            <w:shd w:val="clear" w:color="auto" w:fill="E5FFFF"/>
          </w:tcPr>
          <w:p>
            <w:pPr>
              <w:ind w:left="180"/>
              <w:spacing w:after="0" w:line="243" w:lineRule="exact"/>
              <w:rPr>
                <w:sz w:val="20"/>
                <w:szCs w:val="20"/>
                <w:color w:val="auto"/>
              </w:rPr>
            </w:pPr>
            <w:r>
              <w:rPr>
                <w:rFonts w:ascii="Arial" w:cs="Arial" w:eastAsia="Arial" w:hAnsi="Arial"/>
                <w:sz w:val="22"/>
                <w:szCs w:val="22"/>
                <w:color w:val="auto"/>
              </w:rPr>
              <w:t>Prepaid expenses and other</w:t>
            </w:r>
          </w:p>
        </w:tc>
        <w:tc>
          <w:tcPr>
            <w:tcW w:w="2320" w:type="dxa"/>
            <w:vAlign w:val="bottom"/>
            <w:gridSpan w:val="5"/>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$ 146</w:t>
            </w:r>
          </w:p>
        </w:tc>
        <w:tc>
          <w:tcPr>
            <w:tcW w:w="116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8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34</w:t>
            </w:r>
          </w:p>
        </w:tc>
        <w:tc>
          <w:tcPr>
            <w:tcW w:w="80" w:type="dxa"/>
            <w:vAlign w:val="bottom"/>
            <w:shd w:val="clear" w:color="auto" w:fill="E5FFFF"/>
          </w:tcPr>
          <w:p>
            <w:pPr>
              <w:spacing w:after="0"/>
              <w:rPr>
                <w:sz w:val="21"/>
                <w:szCs w:val="21"/>
                <w:color w:val="auto"/>
              </w:rPr>
            </w:pPr>
          </w:p>
        </w:tc>
      </w:tr>
      <w:tr>
        <w:trPr>
          <w:trHeight w:val="257"/>
        </w:trPr>
        <w:tc>
          <w:tcPr>
            <w:tcW w:w="4940" w:type="dxa"/>
            <w:vAlign w:val="bottom"/>
          </w:tcPr>
          <w:p>
            <w:pPr>
              <w:ind w:left="180"/>
              <w:spacing w:after="0"/>
              <w:rPr>
                <w:sz w:val="20"/>
                <w:szCs w:val="20"/>
                <w:color w:val="auto"/>
              </w:rPr>
            </w:pPr>
            <w:r>
              <w:rPr>
                <w:rFonts w:ascii="Arial" w:cs="Arial" w:eastAsia="Arial" w:hAnsi="Arial"/>
                <w:sz w:val="22"/>
                <w:szCs w:val="22"/>
                <w:color w:val="auto"/>
              </w:rPr>
              <w:t>Inventory</w:t>
            </w:r>
          </w:p>
        </w:tc>
        <w:tc>
          <w:tcPr>
            <w:tcW w:w="2320" w:type="dxa"/>
            <w:vAlign w:val="bottom"/>
            <w:gridSpan w:val="5"/>
          </w:tcPr>
          <w:p>
            <w:pPr>
              <w:jc w:val="right"/>
              <w:ind w:right="420"/>
              <w:spacing w:after="0"/>
              <w:rPr>
                <w:sz w:val="20"/>
                <w:szCs w:val="20"/>
                <w:color w:val="auto"/>
              </w:rPr>
            </w:pPr>
            <w:r>
              <w:rPr>
                <w:rFonts w:ascii="Arial" w:cs="Arial" w:eastAsia="Arial" w:hAnsi="Arial"/>
                <w:sz w:val="22"/>
                <w:szCs w:val="22"/>
                <w:color w:val="auto"/>
              </w:rPr>
              <w:t>246</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22"/>
                <w:szCs w:val="22"/>
                <w:color w:val="auto"/>
              </w:rPr>
              <w:t>454</w:t>
            </w:r>
          </w:p>
        </w:tc>
        <w:tc>
          <w:tcPr>
            <w:tcW w:w="80" w:type="dxa"/>
            <w:vAlign w:val="bottom"/>
          </w:tcPr>
          <w:p>
            <w:pPr>
              <w:spacing w:after="0"/>
              <w:rPr>
                <w:sz w:val="22"/>
                <w:szCs w:val="22"/>
                <w:color w:val="auto"/>
              </w:rPr>
            </w:pPr>
          </w:p>
        </w:tc>
      </w:tr>
      <w:tr>
        <w:trPr>
          <w:trHeight w:val="237"/>
        </w:trPr>
        <w:tc>
          <w:tcPr>
            <w:tcW w:w="4940" w:type="dxa"/>
            <w:vAlign w:val="bottom"/>
            <w:tcBorders>
              <w:top w:val="single" w:sz="8" w:color="E5FFFF"/>
            </w:tcBorders>
            <w:shd w:val="clear" w:color="auto" w:fill="E5FFFF"/>
          </w:tcPr>
          <w:p>
            <w:pPr>
              <w:ind w:left="360"/>
              <w:spacing w:after="0" w:line="237" w:lineRule="exact"/>
              <w:rPr>
                <w:sz w:val="20"/>
                <w:szCs w:val="20"/>
                <w:color w:val="auto"/>
              </w:rPr>
            </w:pPr>
            <w:r>
              <w:rPr>
                <w:rFonts w:ascii="Arial" w:cs="Arial" w:eastAsia="Arial" w:hAnsi="Arial"/>
                <w:sz w:val="22"/>
                <w:szCs w:val="22"/>
                <w:color w:val="auto"/>
              </w:rPr>
              <w:t>Total current assets</w:t>
            </w:r>
          </w:p>
        </w:tc>
        <w:tc>
          <w:tcPr>
            <w:tcW w:w="1120" w:type="dxa"/>
            <w:vAlign w:val="bottom"/>
            <w:tcBorders>
              <w:top w:val="single" w:sz="8" w:color="E5FFFF"/>
            </w:tcBorders>
            <w:shd w:val="clear" w:color="auto" w:fill="E5FFFF"/>
          </w:tcPr>
          <w:p>
            <w:pPr>
              <w:spacing w:after="0"/>
              <w:rPr>
                <w:sz w:val="20"/>
                <w:szCs w:val="20"/>
                <w:color w:val="auto"/>
              </w:rPr>
            </w:pPr>
          </w:p>
        </w:tc>
        <w:tc>
          <w:tcPr>
            <w:tcW w:w="320" w:type="dxa"/>
            <w:vAlign w:val="bottom"/>
            <w:tcBorders>
              <w:top w:val="single" w:sz="8" w:color="E5FFFF"/>
            </w:tcBorders>
            <w:shd w:val="clear" w:color="auto" w:fill="E5FFFF"/>
          </w:tcPr>
          <w:p>
            <w:pPr>
              <w:spacing w:after="0"/>
              <w:rPr>
                <w:sz w:val="20"/>
                <w:szCs w:val="20"/>
                <w:color w:val="auto"/>
              </w:rPr>
            </w:pPr>
          </w:p>
        </w:tc>
        <w:tc>
          <w:tcPr>
            <w:tcW w:w="46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392</w:t>
            </w:r>
          </w:p>
        </w:tc>
        <w:tc>
          <w:tcPr>
            <w:tcW w:w="420" w:type="dxa"/>
            <w:vAlign w:val="bottom"/>
            <w:tcBorders>
              <w:top w:val="single" w:sz="8" w:color="E5FFFF"/>
            </w:tcBorders>
            <w:shd w:val="clear" w:color="auto" w:fill="E5FFFF"/>
          </w:tcPr>
          <w:p>
            <w:pPr>
              <w:spacing w:after="0"/>
              <w:rPr>
                <w:sz w:val="20"/>
                <w:szCs w:val="20"/>
                <w:color w:val="auto"/>
              </w:rPr>
            </w:pPr>
          </w:p>
        </w:tc>
        <w:tc>
          <w:tcPr>
            <w:tcW w:w="76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480" w:type="dxa"/>
            <w:vAlign w:val="bottom"/>
            <w:tcBorders>
              <w:top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488</w:t>
            </w:r>
          </w:p>
        </w:tc>
        <w:tc>
          <w:tcPr>
            <w:tcW w:w="80" w:type="dxa"/>
            <w:vAlign w:val="bottom"/>
            <w:tcBorders>
              <w:top w:val="single" w:sz="8" w:color="E5FFFF"/>
            </w:tcBorders>
            <w:shd w:val="clear" w:color="auto" w:fill="E5FFFF"/>
          </w:tcPr>
          <w:p>
            <w:pPr>
              <w:spacing w:after="0"/>
              <w:rPr>
                <w:sz w:val="20"/>
                <w:szCs w:val="20"/>
                <w:color w:val="auto"/>
              </w:rPr>
            </w:pPr>
          </w:p>
        </w:tc>
      </w:tr>
      <w:tr>
        <w:trPr>
          <w:trHeight w:val="257"/>
        </w:trPr>
        <w:tc>
          <w:tcPr>
            <w:tcW w:w="4940" w:type="dxa"/>
            <w:vAlign w:val="bottom"/>
          </w:tcPr>
          <w:p>
            <w:pPr>
              <w:ind w:left="180"/>
              <w:spacing w:after="0"/>
              <w:rPr>
                <w:sz w:val="20"/>
                <w:szCs w:val="20"/>
                <w:color w:val="auto"/>
              </w:rPr>
            </w:pPr>
            <w:r>
              <w:rPr>
                <w:rFonts w:ascii="Arial" w:cs="Arial" w:eastAsia="Arial" w:hAnsi="Arial"/>
                <w:sz w:val="22"/>
                <w:szCs w:val="22"/>
                <w:color w:val="auto"/>
              </w:rPr>
              <w:t>Property and equipment, net</w:t>
            </w:r>
          </w:p>
        </w:tc>
        <w:tc>
          <w:tcPr>
            <w:tcW w:w="2320" w:type="dxa"/>
            <w:vAlign w:val="bottom"/>
            <w:gridSpan w:val="5"/>
          </w:tcPr>
          <w:p>
            <w:pPr>
              <w:jc w:val="right"/>
              <w:ind w:right="420"/>
              <w:spacing w:after="0"/>
              <w:rPr>
                <w:sz w:val="20"/>
                <w:szCs w:val="20"/>
                <w:color w:val="auto"/>
              </w:rPr>
            </w:pPr>
            <w:r>
              <w:rPr>
                <w:rFonts w:ascii="Arial" w:cs="Arial" w:eastAsia="Arial" w:hAnsi="Arial"/>
                <w:sz w:val="22"/>
                <w:szCs w:val="22"/>
                <w:color w:val="auto"/>
              </w:rPr>
              <w:t>233</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22"/>
                <w:szCs w:val="22"/>
                <w:color w:val="auto"/>
                <w:w w:val="83"/>
              </w:rPr>
              <w:t>2,325</w:t>
            </w:r>
          </w:p>
        </w:tc>
        <w:tc>
          <w:tcPr>
            <w:tcW w:w="80" w:type="dxa"/>
            <w:vAlign w:val="bottom"/>
          </w:tcPr>
          <w:p>
            <w:pPr>
              <w:spacing w:after="0"/>
              <w:rPr>
                <w:sz w:val="22"/>
                <w:szCs w:val="22"/>
                <w:color w:val="auto"/>
              </w:rPr>
            </w:pPr>
          </w:p>
        </w:tc>
      </w:tr>
      <w:tr>
        <w:trPr>
          <w:trHeight w:val="236"/>
        </w:trPr>
        <w:tc>
          <w:tcPr>
            <w:tcW w:w="4940" w:type="dxa"/>
            <w:vAlign w:val="bottom"/>
            <w:tcBorders>
              <w:top w:val="single" w:sz="8" w:color="E5FFFF"/>
            </w:tcBorders>
            <w:shd w:val="clear" w:color="auto" w:fill="E5FFFF"/>
          </w:tcPr>
          <w:p>
            <w:pPr>
              <w:ind w:left="360"/>
              <w:spacing w:after="0" w:line="237" w:lineRule="exact"/>
              <w:rPr>
                <w:sz w:val="20"/>
                <w:szCs w:val="20"/>
                <w:color w:val="auto"/>
              </w:rPr>
            </w:pPr>
            <w:r>
              <w:rPr>
                <w:rFonts w:ascii="Arial" w:cs="Arial" w:eastAsia="Arial" w:hAnsi="Arial"/>
                <w:sz w:val="22"/>
                <w:szCs w:val="22"/>
                <w:color w:val="auto"/>
              </w:rPr>
              <w:t>Total Assets</w:t>
            </w:r>
          </w:p>
        </w:tc>
        <w:tc>
          <w:tcPr>
            <w:tcW w:w="1120" w:type="dxa"/>
            <w:vAlign w:val="bottom"/>
            <w:tcBorders>
              <w:top w:val="single" w:sz="8" w:color="E5FFFF"/>
            </w:tcBorders>
            <w:shd w:val="clear" w:color="auto" w:fill="E5FFFF"/>
          </w:tcPr>
          <w:p>
            <w:pPr>
              <w:spacing w:after="0"/>
              <w:rPr>
                <w:sz w:val="20"/>
                <w:szCs w:val="20"/>
                <w:color w:val="auto"/>
              </w:rPr>
            </w:pPr>
          </w:p>
        </w:tc>
        <w:tc>
          <w:tcPr>
            <w:tcW w:w="320" w:type="dxa"/>
            <w:vAlign w:val="bottom"/>
            <w:tcBorders>
              <w:top w:val="single" w:sz="8" w:color="E5FFFF"/>
            </w:tcBorders>
            <w:shd w:val="clear" w:color="auto" w:fill="E5FF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625</w:t>
            </w:r>
          </w:p>
        </w:tc>
        <w:tc>
          <w:tcPr>
            <w:tcW w:w="420" w:type="dxa"/>
            <w:vAlign w:val="bottom"/>
            <w:tcBorders>
              <w:top w:val="single" w:sz="8" w:color="E5FFFF"/>
            </w:tcBorders>
            <w:shd w:val="clear" w:color="auto" w:fill="E5FFFF"/>
          </w:tcPr>
          <w:p>
            <w:pPr>
              <w:spacing w:after="0"/>
              <w:rPr>
                <w:sz w:val="20"/>
                <w:szCs w:val="20"/>
                <w:color w:val="auto"/>
              </w:rPr>
            </w:pPr>
          </w:p>
        </w:tc>
        <w:tc>
          <w:tcPr>
            <w:tcW w:w="76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bottom w:val="single" w:sz="8" w:color="auto"/>
            </w:tcBorders>
            <w:shd w:val="clear" w:color="auto" w:fill="E5FFFF"/>
          </w:tcPr>
          <w:p>
            <w:pPr>
              <w:spacing w:after="0"/>
              <w:rPr>
                <w:sz w:val="20"/>
                <w:szCs w:val="20"/>
                <w:color w:val="auto"/>
              </w:rPr>
            </w:pPr>
          </w:p>
        </w:tc>
        <w:tc>
          <w:tcPr>
            <w:tcW w:w="480" w:type="dxa"/>
            <w:vAlign w:val="bottom"/>
            <w:tcBorders>
              <w:top w:val="single" w:sz="8" w:color="auto"/>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w w:val="83"/>
              </w:rPr>
              <w:t>2,813</w:t>
            </w:r>
          </w:p>
        </w:tc>
        <w:tc>
          <w:tcPr>
            <w:tcW w:w="80" w:type="dxa"/>
            <w:vAlign w:val="bottom"/>
            <w:tcBorders>
              <w:top w:val="single" w:sz="8" w:color="E5FFFF"/>
            </w:tcBorders>
            <w:shd w:val="clear" w:color="auto" w:fill="E5FFFF"/>
          </w:tcPr>
          <w:p>
            <w:pPr>
              <w:spacing w:after="0"/>
              <w:rPr>
                <w:sz w:val="20"/>
                <w:szCs w:val="20"/>
                <w:color w:val="auto"/>
              </w:rPr>
            </w:pPr>
          </w:p>
        </w:tc>
      </w:tr>
      <w:tr>
        <w:trPr>
          <w:trHeight w:val="480"/>
        </w:trPr>
        <w:tc>
          <w:tcPr>
            <w:tcW w:w="4940" w:type="dxa"/>
            <w:vAlign w:val="bottom"/>
          </w:tcPr>
          <w:p>
            <w:pPr>
              <w:spacing w:after="0"/>
              <w:rPr>
                <w:sz w:val="20"/>
                <w:szCs w:val="20"/>
                <w:color w:val="auto"/>
              </w:rPr>
            </w:pPr>
            <w:r>
              <w:rPr>
                <w:rFonts w:ascii="Arial" w:cs="Arial" w:eastAsia="Arial" w:hAnsi="Arial"/>
                <w:sz w:val="22"/>
                <w:szCs w:val="22"/>
                <w:color w:val="auto"/>
              </w:rPr>
              <w:t>Liabilities: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49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Current liabilities:</w:t>
            </w:r>
          </w:p>
        </w:tc>
        <w:tc>
          <w:tcPr>
            <w:tcW w:w="11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r>
      <w:tr>
        <w:trPr>
          <w:trHeight w:val="243"/>
        </w:trPr>
        <w:tc>
          <w:tcPr>
            <w:tcW w:w="4940" w:type="dxa"/>
            <w:vAlign w:val="bottom"/>
          </w:tcPr>
          <w:p>
            <w:pPr>
              <w:ind w:left="180"/>
              <w:spacing w:after="0" w:line="243" w:lineRule="exact"/>
              <w:rPr>
                <w:sz w:val="20"/>
                <w:szCs w:val="20"/>
                <w:color w:val="auto"/>
              </w:rPr>
            </w:pPr>
            <w:r>
              <w:rPr>
                <w:rFonts w:ascii="Arial" w:cs="Arial" w:eastAsia="Arial" w:hAnsi="Arial"/>
                <w:sz w:val="22"/>
                <w:szCs w:val="22"/>
                <w:color w:val="auto"/>
              </w:rPr>
              <w:t>Accounts payable, trade</w:t>
            </w:r>
          </w:p>
        </w:tc>
        <w:tc>
          <w:tcPr>
            <w:tcW w:w="2320" w:type="dxa"/>
            <w:vAlign w:val="bottom"/>
            <w:gridSpan w:val="5"/>
          </w:tcPr>
          <w:p>
            <w:pPr>
              <w:jc w:val="right"/>
              <w:ind w:right="420"/>
              <w:spacing w:after="0" w:line="243" w:lineRule="exact"/>
              <w:rPr>
                <w:sz w:val="20"/>
                <w:szCs w:val="20"/>
                <w:color w:val="auto"/>
              </w:rPr>
            </w:pPr>
            <w:r>
              <w:rPr>
                <w:rFonts w:ascii="Arial" w:cs="Arial" w:eastAsia="Arial" w:hAnsi="Arial"/>
                <w:sz w:val="22"/>
                <w:szCs w:val="22"/>
                <w:color w:val="auto"/>
              </w:rPr>
              <w:t>253</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334</w:t>
            </w:r>
          </w:p>
        </w:tc>
        <w:tc>
          <w:tcPr>
            <w:tcW w:w="80" w:type="dxa"/>
            <w:vAlign w:val="bottom"/>
          </w:tcPr>
          <w:p>
            <w:pPr>
              <w:spacing w:after="0"/>
              <w:rPr>
                <w:sz w:val="21"/>
                <w:szCs w:val="21"/>
                <w:color w:val="auto"/>
              </w:rPr>
            </w:pPr>
          </w:p>
        </w:tc>
      </w:tr>
      <w:tr>
        <w:trPr>
          <w:trHeight w:val="257"/>
        </w:trPr>
        <w:tc>
          <w:tcPr>
            <w:tcW w:w="4940" w:type="dxa"/>
            <w:vAlign w:val="bottom"/>
            <w:shd w:val="clear" w:color="auto" w:fill="E5FFFF"/>
          </w:tcPr>
          <w:p>
            <w:pPr>
              <w:ind w:left="180"/>
              <w:spacing w:after="0"/>
              <w:rPr>
                <w:sz w:val="20"/>
                <w:szCs w:val="20"/>
                <w:color w:val="auto"/>
              </w:rPr>
            </w:pPr>
            <w:r>
              <w:rPr>
                <w:rFonts w:ascii="Arial" w:cs="Arial" w:eastAsia="Arial" w:hAnsi="Arial"/>
                <w:sz w:val="22"/>
                <w:szCs w:val="22"/>
                <w:color w:val="auto"/>
              </w:rPr>
              <w:t>Accrued expenses and other current liabilities</w:t>
            </w:r>
          </w:p>
        </w:tc>
        <w:tc>
          <w:tcPr>
            <w:tcW w:w="2320" w:type="dxa"/>
            <w:vAlign w:val="bottom"/>
            <w:gridSpan w:val="5"/>
            <w:shd w:val="clear" w:color="auto" w:fill="E5FFFF"/>
          </w:tcPr>
          <w:p>
            <w:pPr>
              <w:jc w:val="right"/>
              <w:ind w:right="420"/>
              <w:spacing w:after="0"/>
              <w:rPr>
                <w:sz w:val="20"/>
                <w:szCs w:val="20"/>
                <w:color w:val="auto"/>
              </w:rPr>
            </w:pPr>
            <w:r>
              <w:rPr>
                <w:rFonts w:ascii="Arial" w:cs="Arial" w:eastAsia="Arial" w:hAnsi="Arial"/>
                <w:sz w:val="22"/>
                <w:szCs w:val="22"/>
                <w:color w:val="auto"/>
              </w:rPr>
              <w:t>29</w:t>
            </w:r>
          </w:p>
        </w:tc>
        <w:tc>
          <w:tcPr>
            <w:tcW w:w="7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201</w:t>
            </w:r>
          </w:p>
        </w:tc>
        <w:tc>
          <w:tcPr>
            <w:tcW w:w="80" w:type="dxa"/>
            <w:vAlign w:val="bottom"/>
            <w:shd w:val="clear" w:color="auto" w:fill="E5FFFF"/>
          </w:tcPr>
          <w:p>
            <w:pPr>
              <w:spacing w:after="0"/>
              <w:rPr>
                <w:sz w:val="22"/>
                <w:szCs w:val="22"/>
                <w:color w:val="auto"/>
              </w:rPr>
            </w:pPr>
          </w:p>
        </w:tc>
      </w:tr>
      <w:tr>
        <w:trPr>
          <w:trHeight w:val="236"/>
        </w:trPr>
        <w:tc>
          <w:tcPr>
            <w:tcW w:w="4940" w:type="dxa"/>
            <w:vAlign w:val="bottom"/>
            <w:tcBorders>
              <w:bottom w:val="single" w:sz="8" w:color="E5FFFF"/>
            </w:tcBorders>
          </w:tcPr>
          <w:p>
            <w:pPr>
              <w:ind w:left="360"/>
              <w:spacing w:after="0" w:line="237" w:lineRule="exact"/>
              <w:rPr>
                <w:sz w:val="20"/>
                <w:szCs w:val="20"/>
                <w:color w:val="auto"/>
              </w:rPr>
            </w:pPr>
            <w:r>
              <w:rPr>
                <w:rFonts w:ascii="Arial" w:cs="Arial" w:eastAsia="Arial" w:hAnsi="Arial"/>
                <w:sz w:val="22"/>
                <w:szCs w:val="22"/>
                <w:color w:val="auto"/>
              </w:rPr>
              <w:t>Total current liabilities</w:t>
            </w:r>
          </w:p>
        </w:tc>
        <w:tc>
          <w:tcPr>
            <w:tcW w:w="1120" w:type="dxa"/>
            <w:vAlign w:val="bottom"/>
            <w:tcBorders>
              <w:bottom w:val="single" w:sz="8" w:color="E5FFFF"/>
            </w:tcBorders>
          </w:tcPr>
          <w:p>
            <w:pPr>
              <w:spacing w:after="0"/>
              <w:rPr>
                <w:sz w:val="20"/>
                <w:szCs w:val="20"/>
                <w:color w:val="auto"/>
              </w:rPr>
            </w:pPr>
          </w:p>
        </w:tc>
        <w:tc>
          <w:tcPr>
            <w:tcW w:w="320" w:type="dxa"/>
            <w:vAlign w:val="bottom"/>
            <w:tcBorders>
              <w:bottom w:val="single" w:sz="8" w:color="E5FFFF"/>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282</w:t>
            </w:r>
          </w:p>
        </w:tc>
        <w:tc>
          <w:tcPr>
            <w:tcW w:w="420" w:type="dxa"/>
            <w:vAlign w:val="bottom"/>
            <w:tcBorders>
              <w:bottom w:val="single" w:sz="8" w:color="E5FFFF"/>
            </w:tcBorders>
          </w:tcPr>
          <w:p>
            <w:pPr>
              <w:spacing w:after="0"/>
              <w:rPr>
                <w:sz w:val="20"/>
                <w:szCs w:val="20"/>
                <w:color w:val="auto"/>
              </w:rPr>
            </w:pPr>
          </w:p>
        </w:tc>
        <w:tc>
          <w:tcPr>
            <w:tcW w:w="760" w:type="dxa"/>
            <w:vAlign w:val="bottom"/>
            <w:tcBorders>
              <w:bottom w:val="single" w:sz="8" w:color="E5FFFF"/>
            </w:tcBorders>
          </w:tcPr>
          <w:p>
            <w:pPr>
              <w:spacing w:after="0"/>
              <w:rPr>
                <w:sz w:val="20"/>
                <w:szCs w:val="20"/>
                <w:color w:val="auto"/>
              </w:rPr>
            </w:pPr>
          </w:p>
        </w:tc>
        <w:tc>
          <w:tcPr>
            <w:tcW w:w="300" w:type="dxa"/>
            <w:vAlign w:val="bottom"/>
            <w:tcBorders>
              <w:bottom w:val="single" w:sz="8" w:color="E5FF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line="237" w:lineRule="exact"/>
              <w:rPr>
                <w:sz w:val="20"/>
                <w:szCs w:val="20"/>
                <w:color w:val="auto"/>
              </w:rPr>
            </w:pPr>
            <w:r>
              <w:rPr>
                <w:rFonts w:ascii="Arial" w:cs="Arial" w:eastAsia="Arial" w:hAnsi="Arial"/>
                <w:sz w:val="22"/>
                <w:szCs w:val="22"/>
                <w:color w:val="auto"/>
              </w:rPr>
              <w:t>535</w:t>
            </w:r>
          </w:p>
        </w:tc>
        <w:tc>
          <w:tcPr>
            <w:tcW w:w="80" w:type="dxa"/>
            <w:vAlign w:val="bottom"/>
            <w:tcBorders>
              <w:bottom w:val="single" w:sz="8" w:color="E5FFFF"/>
            </w:tcBorders>
          </w:tcPr>
          <w:p>
            <w:pPr>
              <w:spacing w:after="0"/>
              <w:rPr>
                <w:sz w:val="20"/>
                <w:szCs w:val="20"/>
                <w:color w:val="auto"/>
              </w:rPr>
            </w:pPr>
          </w:p>
        </w:tc>
      </w:tr>
      <w:tr>
        <w:trPr>
          <w:trHeight w:val="237"/>
        </w:trPr>
        <w:tc>
          <w:tcPr>
            <w:tcW w:w="4940" w:type="dxa"/>
            <w:vAlign w:val="bottom"/>
            <w:shd w:val="clear" w:color="auto" w:fill="E5FFFF"/>
          </w:tcPr>
          <w:p>
            <w:pPr>
              <w:ind w:left="360"/>
              <w:spacing w:after="0" w:line="237" w:lineRule="exact"/>
              <w:rPr>
                <w:sz w:val="20"/>
                <w:szCs w:val="20"/>
                <w:color w:val="auto"/>
              </w:rPr>
            </w:pPr>
            <w:r>
              <w:rPr>
                <w:rFonts w:ascii="Arial" w:cs="Arial" w:eastAsia="Arial" w:hAnsi="Arial"/>
                <w:sz w:val="22"/>
                <w:szCs w:val="22"/>
                <w:color w:val="auto"/>
              </w:rPr>
              <w:t>Total liabilities</w:t>
            </w:r>
          </w:p>
        </w:tc>
        <w:tc>
          <w:tcPr>
            <w:tcW w:w="11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460" w:type="dxa"/>
            <w:vAlign w:val="bottom"/>
            <w:tcBorders>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282</w:t>
            </w:r>
          </w:p>
        </w:tc>
        <w:tc>
          <w:tcPr>
            <w:tcW w:w="42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tcBorders>
              <w:bottom w:val="single" w:sz="8" w:color="auto"/>
            </w:tcBorders>
            <w:shd w:val="clear" w:color="auto" w:fill="E5FFFF"/>
          </w:tcPr>
          <w:p>
            <w:pPr>
              <w:spacing w:after="0"/>
              <w:rPr>
                <w:sz w:val="20"/>
                <w:szCs w:val="20"/>
                <w:color w:val="auto"/>
              </w:rPr>
            </w:pPr>
          </w:p>
        </w:tc>
        <w:tc>
          <w:tcPr>
            <w:tcW w:w="480" w:type="dxa"/>
            <w:vAlign w:val="bottom"/>
            <w:tcBorders>
              <w:bottom w:val="single" w:sz="8" w:color="auto"/>
            </w:tcBorders>
            <w:gridSpan w:val="2"/>
            <w:shd w:val="clear" w:color="auto" w:fill="E5FFFF"/>
          </w:tcPr>
          <w:p>
            <w:pPr>
              <w:jc w:val="right"/>
              <w:spacing w:after="0" w:line="237" w:lineRule="exact"/>
              <w:rPr>
                <w:sz w:val="20"/>
                <w:szCs w:val="20"/>
                <w:color w:val="auto"/>
              </w:rPr>
            </w:pPr>
            <w:r>
              <w:rPr>
                <w:rFonts w:ascii="Arial" w:cs="Arial" w:eastAsia="Arial" w:hAnsi="Arial"/>
                <w:sz w:val="22"/>
                <w:szCs w:val="22"/>
                <w:color w:val="auto"/>
              </w:rPr>
              <w:t>535</w:t>
            </w:r>
          </w:p>
        </w:tc>
        <w:tc>
          <w:tcPr>
            <w:tcW w:w="80" w:type="dxa"/>
            <w:vAlign w:val="bottom"/>
            <w:shd w:val="clear" w:color="auto" w:fill="E5FFFF"/>
          </w:tcPr>
          <w:p>
            <w:pPr>
              <w:spacing w:after="0"/>
              <w:rPr>
                <w:sz w:val="20"/>
                <w:szCs w:val="20"/>
                <w:color w:val="auto"/>
              </w:rPr>
            </w:pPr>
          </w:p>
        </w:tc>
      </w:tr>
      <w:tr>
        <w:trPr>
          <w:trHeight w:val="500"/>
        </w:trPr>
        <w:tc>
          <w:tcPr>
            <w:tcW w:w="4940" w:type="dxa"/>
            <w:vAlign w:val="bottom"/>
          </w:tcPr>
          <w:p>
            <w:pPr>
              <w:spacing w:after="0"/>
              <w:rPr>
                <w:sz w:val="20"/>
                <w:szCs w:val="20"/>
                <w:color w:val="auto"/>
              </w:rPr>
            </w:pPr>
            <w:r>
              <w:rPr>
                <w:rFonts w:ascii="Arial" w:cs="Arial" w:eastAsia="Arial" w:hAnsi="Arial"/>
                <w:sz w:val="22"/>
                <w:szCs w:val="22"/>
                <w:color w:val="auto"/>
              </w:rPr>
              <w:t>Net assets included in discontinued operations</w:t>
            </w:r>
          </w:p>
        </w:tc>
        <w:tc>
          <w:tcPr>
            <w:tcW w:w="2320" w:type="dxa"/>
            <w:vAlign w:val="bottom"/>
            <w:gridSpan w:val="5"/>
          </w:tcPr>
          <w:p>
            <w:pPr>
              <w:jc w:val="right"/>
              <w:ind w:right="420"/>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 343</w:t>
            </w:r>
          </w:p>
        </w:tc>
        <w:tc>
          <w:tcPr>
            <w:tcW w:w="1160" w:type="dxa"/>
            <w:vAlign w:val="bottom"/>
            <w:gridSpan w:val="3"/>
          </w:tcPr>
          <w:p>
            <w:pPr>
              <w:jc w:val="right"/>
              <w:spacing w:after="0"/>
              <w:rPr>
                <w:sz w:val="20"/>
                <w:szCs w:val="20"/>
                <w:color w:val="auto"/>
              </w:rPr>
            </w:pPr>
            <w:r>
              <w:rPr>
                <w:rFonts w:ascii="Arial" w:cs="Arial" w:eastAsia="Arial" w:hAnsi="Arial"/>
                <w:sz w:val="22"/>
                <w:szCs w:val="22"/>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w w:val="83"/>
              </w:rPr>
              <w:t>2,278</w:t>
            </w:r>
          </w:p>
        </w:tc>
        <w:tc>
          <w:tcPr>
            <w:tcW w:w="80" w:type="dxa"/>
            <w:vAlign w:val="bottom"/>
          </w:tcPr>
          <w:p>
            <w:pPr>
              <w:spacing w:after="0"/>
              <w:rPr>
                <w:sz w:val="24"/>
                <w:szCs w:val="24"/>
                <w:color w:val="auto"/>
              </w:rPr>
            </w:pPr>
          </w:p>
        </w:tc>
      </w:tr>
      <w:tr>
        <w:trPr>
          <w:trHeight w:val="496"/>
        </w:trPr>
        <w:tc>
          <w:tcPr>
            <w:tcW w:w="4940" w:type="dxa"/>
            <w:vAlign w:val="bottom"/>
          </w:tcPr>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Commitments and Contingencies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12"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9"/>
          <w:szCs w:val="19"/>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Condensed Financial Statements.</w:t>
      </w:r>
    </w:p>
    <w:p>
      <w:pPr>
        <w:spacing w:after="0" w:line="161"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One Earth and NuGen have combined forward purchase contracts for approximately 12.4 million bushels of corn, the principal raw material for their ethanol plants, and they have combined forward purchase contracts for approximately 2.1 million MmBtu (million British thermal unit) of natural gas.</w:t>
      </w:r>
    </w:p>
    <w:p>
      <w:pPr>
        <w:spacing w:after="0" w:line="213" w:lineRule="exact"/>
        <w:rPr>
          <w:sz w:val="20"/>
          <w:szCs w:val="20"/>
          <w:color w:val="auto"/>
        </w:rPr>
      </w:pPr>
    </w:p>
    <w:p>
      <w:pPr>
        <w:ind w:right="1120" w:firstLine="648"/>
        <w:spacing w:after="0" w:line="328" w:lineRule="auto"/>
        <w:rPr>
          <w:sz w:val="20"/>
          <w:szCs w:val="20"/>
          <w:color w:val="auto"/>
        </w:rPr>
      </w:pPr>
      <w:r>
        <w:rPr>
          <w:rFonts w:ascii="Arial" w:cs="Arial" w:eastAsia="Arial" w:hAnsi="Arial"/>
          <w:sz w:val="19"/>
          <w:szCs w:val="19"/>
          <w:color w:val="auto"/>
        </w:rPr>
        <w:t>One Earth and NuGen have combined sales commitments for approximately 50.3 million gallons of ethanol, approximately 113,000 tons of distillers grains and approximately 13.5 million pounds of non-food grade corn oil.</w:t>
      </w:r>
    </w:p>
    <w:p>
      <w:pPr>
        <w:spacing w:after="0" w:line="13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refined coal entity has various agreements (site license, operating agreements, etc.) containing payment terms based upon production of refined coal under which the Company is required to pay various fees. These fees totaled approximately $2.0 million and approximately $0.5 million in the third quarter of fiscal years 2021 and 2020, respectively. Such fees totaled approximately $5.1 million and approximately $1.9 million for the nine months ended October 31, 2021 and 2020,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645" w:right="4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During the third quarters of fiscal years 2021 and 2020, One Earth and NuGen purchased approximately $22.9 million and approximately $16.9 million, respectively, of corn (and other supplies) from minority equity investors and board members of those subsidiaries. Such purchases totaled approximately $60.3 million and approximately $34.0 million for the nine months ended October 31, 2021 and 2020, respectively. The Company had amounts payable to related parties of approximately $1.7 million and approximately $0.7 million at October 31, 2021 and January 31, 2021, respectively.</w:t>
      </w:r>
    </w:p>
    <w:p>
      <w:pPr>
        <w:spacing w:after="0" w:line="17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During the third quarters of fiscal years 2021 and 2020, the Company recognized (reduced) commission expense of approximately $40,000 and approximately $(15,000), payable to the minority investor in the refined coal entity. During the first nine months of fiscal years 2021 and 2020, the Company recognized (reduced) commission expense of approximately $0.2 million and approximately $(0.2) million, respectively. The commission expense is associated with the refined coal business which is classified within discontinued operations. The Company had accrued liabilities related to the commission expense of approximately $0.1 million at January 31, 2021, recorded within current liabilities held for sale.</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At October 31, 2021, we had investments in three ethanol limited liability companies, in two of which we have a majority ownership interest. The following table is a summary of ethanol gallons shipped at our plants: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380" w:type="dxa"/>
            <w:vAlign w:val="bottom"/>
            <w:tcBorders>
              <w:top w:val="single" w:sz="8" w:color="auto"/>
              <w:left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gridSpan w:val="2"/>
          </w:tcPr>
          <w:p>
            <w:pPr>
              <w:jc w:val="right"/>
              <w:ind w:right="132"/>
              <w:spacing w:after="0" w:line="229" w:lineRule="exact"/>
              <w:rPr>
                <w:sz w:val="20"/>
                <w:szCs w:val="20"/>
                <w:color w:val="auto"/>
              </w:rPr>
            </w:pPr>
            <w:r>
              <w:rPr>
                <w:rFonts w:ascii="Arial" w:cs="Arial" w:eastAsia="Arial" w:hAnsi="Arial"/>
                <w:sz w:val="22"/>
                <w:szCs w:val="22"/>
                <w:b w:val="1"/>
                <w:bCs w:val="1"/>
                <w:color w:val="auto"/>
              </w:rPr>
              <w:t>Trailing 12</w:t>
            </w:r>
          </w:p>
        </w:tc>
        <w:tc>
          <w:tcPr>
            <w:tcW w:w="1340" w:type="dxa"/>
            <w:vAlign w:val="bottom"/>
            <w:tcBorders>
              <w:top w:val="single" w:sz="8" w:color="auto"/>
              <w:right w:val="single" w:sz="8" w:color="auto"/>
            </w:tcBorders>
          </w:tcPr>
          <w:p>
            <w:pPr>
              <w:jc w:val="center"/>
              <w:ind w:right="32"/>
              <w:spacing w:after="0" w:line="229" w:lineRule="exact"/>
              <w:rPr>
                <w:sz w:val="20"/>
                <w:szCs w:val="20"/>
                <w:color w:val="auto"/>
              </w:rPr>
            </w:pPr>
            <w:r>
              <w:rPr>
                <w:rFonts w:ascii="Arial" w:cs="Arial" w:eastAsia="Arial" w:hAnsi="Arial"/>
                <w:sz w:val="22"/>
                <w:szCs w:val="22"/>
                <w:b w:val="1"/>
                <w:bCs w:val="1"/>
                <w:color w:val="auto"/>
                <w:w w:val="94"/>
              </w:rPr>
              <w:t>REX’s</w:t>
            </w:r>
          </w:p>
        </w:tc>
        <w:tc>
          <w:tcPr>
            <w:tcW w:w="2060" w:type="dxa"/>
            <w:vAlign w:val="bottom"/>
            <w:tcBorders>
              <w:top w:val="single" w:sz="8" w:color="auto"/>
              <w:right w:val="single" w:sz="8" w:color="auto"/>
            </w:tcBorders>
            <w:gridSpan w:val="2"/>
          </w:tcPr>
          <w:p>
            <w:pPr>
              <w:jc w:val="right"/>
              <w:ind w:right="232"/>
              <w:spacing w:after="0" w:line="229" w:lineRule="exact"/>
              <w:rPr>
                <w:sz w:val="20"/>
                <w:szCs w:val="20"/>
                <w:color w:val="auto"/>
              </w:rPr>
            </w:pPr>
            <w:r>
              <w:rPr>
                <w:rFonts w:ascii="Arial" w:cs="Arial" w:eastAsia="Arial" w:hAnsi="Arial"/>
                <w:sz w:val="22"/>
                <w:szCs w:val="22"/>
                <w:b w:val="1"/>
                <w:bCs w:val="1"/>
                <w:color w:val="auto"/>
                <w:w w:val="95"/>
              </w:rPr>
              <w:t>Current Effective</w:t>
            </w:r>
          </w:p>
        </w:tc>
      </w:tr>
      <w:tr>
        <w:trPr>
          <w:trHeight w:val="243"/>
        </w:trPr>
        <w:tc>
          <w:tcPr>
            <w:tcW w:w="6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gridSpan w:val="2"/>
          </w:tcPr>
          <w:p>
            <w:pPr>
              <w:ind w:left="360"/>
              <w:spacing w:after="0" w:line="243" w:lineRule="exact"/>
              <w:rPr>
                <w:sz w:val="20"/>
                <w:szCs w:val="20"/>
                <w:color w:val="auto"/>
              </w:rPr>
            </w:pPr>
            <w:r>
              <w:rPr>
                <w:rFonts w:ascii="Arial" w:cs="Arial" w:eastAsia="Arial" w:hAnsi="Arial"/>
                <w:sz w:val="22"/>
                <w:szCs w:val="22"/>
                <w:b w:val="1"/>
                <w:bCs w:val="1"/>
                <w:color w:val="auto"/>
              </w:rPr>
              <w:t>Months</w:t>
            </w:r>
          </w:p>
        </w:tc>
        <w:tc>
          <w:tcPr>
            <w:tcW w:w="1340" w:type="dxa"/>
            <w:vAlign w:val="bottom"/>
            <w:tcBorders>
              <w:right w:val="single" w:sz="8" w:color="auto"/>
            </w:tcBorders>
          </w:tcPr>
          <w:p>
            <w:pPr>
              <w:jc w:val="center"/>
              <w:ind w:right="52"/>
              <w:spacing w:after="0" w:line="243" w:lineRule="exact"/>
              <w:rPr>
                <w:sz w:val="20"/>
                <w:szCs w:val="20"/>
                <w:color w:val="auto"/>
              </w:rPr>
            </w:pPr>
            <w:r>
              <w:rPr>
                <w:rFonts w:ascii="Arial" w:cs="Arial" w:eastAsia="Arial" w:hAnsi="Arial"/>
                <w:sz w:val="22"/>
                <w:szCs w:val="22"/>
                <w:b w:val="1"/>
                <w:bCs w:val="1"/>
                <w:color w:val="auto"/>
                <w:w w:val="93"/>
              </w:rPr>
              <w:t>Current</w:t>
            </w:r>
          </w:p>
        </w:tc>
        <w:tc>
          <w:tcPr>
            <w:tcW w:w="2060" w:type="dxa"/>
            <w:vAlign w:val="bottom"/>
            <w:tcBorders>
              <w:right w:val="single" w:sz="8" w:color="auto"/>
            </w:tcBorders>
            <w:gridSpan w:val="2"/>
          </w:tcPr>
          <w:p>
            <w:pPr>
              <w:jc w:val="center"/>
              <w:ind w:right="132"/>
              <w:spacing w:after="0" w:line="243" w:lineRule="exact"/>
              <w:rPr>
                <w:sz w:val="20"/>
                <w:szCs w:val="20"/>
                <w:color w:val="auto"/>
              </w:rPr>
            </w:pPr>
            <w:r>
              <w:rPr>
                <w:rFonts w:ascii="Arial" w:cs="Arial" w:eastAsia="Arial" w:hAnsi="Arial"/>
                <w:sz w:val="22"/>
                <w:szCs w:val="22"/>
                <w:b w:val="1"/>
                <w:bCs w:val="1"/>
                <w:color w:val="auto"/>
                <w:w w:val="89"/>
              </w:rPr>
              <w:t>Ownership of</w:t>
            </w:r>
          </w:p>
        </w:tc>
      </w:tr>
      <w:tr>
        <w:trPr>
          <w:trHeight w:val="243"/>
        </w:trPr>
        <w:tc>
          <w:tcPr>
            <w:tcW w:w="6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gridSpan w:val="2"/>
          </w:tcPr>
          <w:p>
            <w:pPr>
              <w:ind w:left="340"/>
              <w:spacing w:after="0" w:line="243" w:lineRule="exact"/>
              <w:rPr>
                <w:sz w:val="20"/>
                <w:szCs w:val="20"/>
                <w:color w:val="auto"/>
              </w:rPr>
            </w:pPr>
            <w:r>
              <w:rPr>
                <w:rFonts w:ascii="Arial" w:cs="Arial" w:eastAsia="Arial" w:hAnsi="Arial"/>
                <w:sz w:val="22"/>
                <w:szCs w:val="22"/>
                <w:b w:val="1"/>
                <w:bCs w:val="1"/>
                <w:color w:val="auto"/>
              </w:rPr>
              <w:t>Ethanol</w:t>
            </w:r>
          </w:p>
        </w:tc>
        <w:tc>
          <w:tcPr>
            <w:tcW w:w="1340" w:type="dxa"/>
            <w:vAlign w:val="bottom"/>
            <w:tcBorders>
              <w:right w:val="single" w:sz="8" w:color="auto"/>
            </w:tcBorders>
          </w:tcPr>
          <w:p>
            <w:pPr>
              <w:jc w:val="center"/>
              <w:ind w:right="52"/>
              <w:spacing w:after="0" w:line="243" w:lineRule="exact"/>
              <w:rPr>
                <w:sz w:val="20"/>
                <w:szCs w:val="20"/>
                <w:color w:val="auto"/>
              </w:rPr>
            </w:pPr>
            <w:r>
              <w:rPr>
                <w:rFonts w:ascii="Arial" w:cs="Arial" w:eastAsia="Arial" w:hAnsi="Arial"/>
                <w:sz w:val="22"/>
                <w:szCs w:val="22"/>
                <w:b w:val="1"/>
                <w:bCs w:val="1"/>
                <w:color w:val="auto"/>
                <w:w w:val="89"/>
              </w:rPr>
              <w:t>Effective</w:t>
            </w:r>
          </w:p>
        </w:tc>
        <w:tc>
          <w:tcPr>
            <w:tcW w:w="150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92"/>
              </w:rPr>
              <w:t>Trailing 12</w:t>
            </w:r>
          </w:p>
        </w:tc>
        <w:tc>
          <w:tcPr>
            <w:tcW w:w="560" w:type="dxa"/>
            <w:vAlign w:val="bottom"/>
            <w:tcBorders>
              <w:right w:val="single" w:sz="8" w:color="auto"/>
            </w:tcBorders>
          </w:tcPr>
          <w:p>
            <w:pPr>
              <w:spacing w:after="0"/>
              <w:rPr>
                <w:sz w:val="21"/>
                <w:szCs w:val="21"/>
                <w:color w:val="auto"/>
              </w:rPr>
            </w:pPr>
          </w:p>
        </w:tc>
      </w:tr>
      <w:tr>
        <w:trPr>
          <w:trHeight w:val="243"/>
        </w:trPr>
        <w:tc>
          <w:tcPr>
            <w:tcW w:w="6380" w:type="dxa"/>
            <w:vAlign w:val="bottom"/>
            <w:tcBorders>
              <w:left w:val="single" w:sz="8" w:color="auto"/>
              <w:right w:val="single" w:sz="8" w:color="auto"/>
            </w:tcBorders>
          </w:tcPr>
          <w:p>
            <w:pPr>
              <w:spacing w:after="0"/>
              <w:rPr>
                <w:sz w:val="21"/>
                <w:szCs w:val="21"/>
                <w:color w:val="auto"/>
              </w:rPr>
            </w:pPr>
          </w:p>
        </w:tc>
        <w:tc>
          <w:tcPr>
            <w:tcW w:w="1460" w:type="dxa"/>
            <w:vAlign w:val="bottom"/>
            <w:tcBorders>
              <w:right w:val="single" w:sz="8" w:color="auto"/>
            </w:tcBorders>
            <w:gridSpan w:val="2"/>
          </w:tcPr>
          <w:p>
            <w:pPr>
              <w:ind w:left="360"/>
              <w:spacing w:after="0" w:line="243" w:lineRule="exact"/>
              <w:rPr>
                <w:sz w:val="20"/>
                <w:szCs w:val="20"/>
                <w:color w:val="auto"/>
              </w:rPr>
            </w:pPr>
            <w:r>
              <w:rPr>
                <w:rFonts w:ascii="Arial" w:cs="Arial" w:eastAsia="Arial" w:hAnsi="Arial"/>
                <w:sz w:val="22"/>
                <w:szCs w:val="22"/>
                <w:b w:val="1"/>
                <w:bCs w:val="1"/>
                <w:color w:val="auto"/>
              </w:rPr>
              <w:t>Gallons</w:t>
            </w:r>
          </w:p>
        </w:tc>
        <w:tc>
          <w:tcPr>
            <w:tcW w:w="1340" w:type="dxa"/>
            <w:vAlign w:val="bottom"/>
            <w:tcBorders>
              <w:right w:val="single" w:sz="8" w:color="auto"/>
            </w:tcBorders>
          </w:tcPr>
          <w:p>
            <w:pPr>
              <w:jc w:val="center"/>
              <w:ind w:right="52"/>
              <w:spacing w:after="0" w:line="243" w:lineRule="exact"/>
              <w:rPr>
                <w:sz w:val="20"/>
                <w:szCs w:val="20"/>
                <w:color w:val="auto"/>
              </w:rPr>
            </w:pPr>
            <w:r>
              <w:rPr>
                <w:rFonts w:ascii="Arial" w:cs="Arial" w:eastAsia="Arial" w:hAnsi="Arial"/>
                <w:sz w:val="22"/>
                <w:szCs w:val="22"/>
                <w:b w:val="1"/>
                <w:bCs w:val="1"/>
                <w:color w:val="auto"/>
                <w:w w:val="89"/>
              </w:rPr>
              <w:t>Ownership</w:t>
            </w:r>
          </w:p>
        </w:tc>
        <w:tc>
          <w:tcPr>
            <w:tcW w:w="2060" w:type="dxa"/>
            <w:vAlign w:val="bottom"/>
            <w:tcBorders>
              <w:right w:val="single" w:sz="8" w:color="auto"/>
            </w:tcBorders>
            <w:gridSpan w:val="2"/>
          </w:tcPr>
          <w:p>
            <w:pPr>
              <w:jc w:val="center"/>
              <w:ind w:right="132"/>
              <w:spacing w:after="0" w:line="243" w:lineRule="exact"/>
              <w:rPr>
                <w:sz w:val="20"/>
                <w:szCs w:val="20"/>
                <w:color w:val="auto"/>
              </w:rPr>
            </w:pPr>
            <w:r>
              <w:rPr>
                <w:rFonts w:ascii="Arial" w:cs="Arial" w:eastAsia="Arial" w:hAnsi="Arial"/>
                <w:sz w:val="22"/>
                <w:szCs w:val="22"/>
                <w:b w:val="1"/>
                <w:bCs w:val="1"/>
                <w:color w:val="auto"/>
                <w:w w:val="90"/>
              </w:rPr>
              <w:t>Months Ethanol</w:t>
            </w:r>
          </w:p>
        </w:tc>
      </w:tr>
      <w:tr>
        <w:trPr>
          <w:trHeight w:val="270"/>
        </w:trPr>
        <w:tc>
          <w:tcPr>
            <w:tcW w:w="6380" w:type="dxa"/>
            <w:vAlign w:val="bottom"/>
            <w:tcBorders>
              <w:left w:val="single" w:sz="8" w:color="auto"/>
              <w:bottom w:val="single" w:sz="8" w:color="auto"/>
              <w:right w:val="single" w:sz="8" w:color="auto"/>
            </w:tcBorders>
          </w:tcPr>
          <w:p>
            <w:pPr>
              <w:ind w:left="2900"/>
              <w:spacing w:after="0"/>
              <w:rPr>
                <w:sz w:val="20"/>
                <w:szCs w:val="20"/>
                <w:color w:val="auto"/>
              </w:rPr>
            </w:pPr>
            <w:r>
              <w:rPr>
                <w:rFonts w:ascii="Arial" w:cs="Arial" w:eastAsia="Arial" w:hAnsi="Arial"/>
                <w:sz w:val="22"/>
                <w:szCs w:val="22"/>
                <w:b w:val="1"/>
                <w:bCs w:val="1"/>
                <w:color w:val="auto"/>
              </w:rPr>
              <w:t>Entity</w:t>
            </w:r>
          </w:p>
        </w:tc>
        <w:tc>
          <w:tcPr>
            <w:tcW w:w="146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22"/>
                <w:szCs w:val="22"/>
                <w:b w:val="1"/>
                <w:bCs w:val="1"/>
                <w:color w:val="auto"/>
              </w:rPr>
              <w:t>Shipped</w:t>
            </w:r>
          </w:p>
        </w:tc>
        <w:tc>
          <w:tcPr>
            <w:tcW w:w="134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8"/>
              </w:rPr>
              <w:t>Interest</w:t>
            </w:r>
          </w:p>
        </w:tc>
        <w:tc>
          <w:tcPr>
            <w:tcW w:w="2060" w:type="dxa"/>
            <w:vAlign w:val="bottom"/>
            <w:tcBorders>
              <w:bottom w:val="single" w:sz="8" w:color="auto"/>
              <w:right w:val="single" w:sz="8" w:color="auto"/>
            </w:tcBorders>
            <w:gridSpan w:val="2"/>
          </w:tcPr>
          <w:p>
            <w:pPr>
              <w:jc w:val="center"/>
              <w:ind w:right="152"/>
              <w:spacing w:after="0"/>
              <w:rPr>
                <w:sz w:val="20"/>
                <w:szCs w:val="20"/>
                <w:color w:val="auto"/>
              </w:rPr>
            </w:pPr>
            <w:r>
              <w:rPr>
                <w:rFonts w:ascii="Arial" w:cs="Arial" w:eastAsia="Arial" w:hAnsi="Arial"/>
                <w:sz w:val="22"/>
                <w:szCs w:val="22"/>
                <w:b w:val="1"/>
                <w:bCs w:val="1"/>
                <w:color w:val="auto"/>
                <w:w w:val="87"/>
              </w:rPr>
              <w:t>Gallons Shipped</w:t>
            </w:r>
          </w:p>
        </w:tc>
      </w:tr>
      <w:tr>
        <w:trPr>
          <w:trHeight w:val="237"/>
        </w:trPr>
        <w:tc>
          <w:tcPr>
            <w:tcW w:w="63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One Earth Energy, LLC</w:t>
            </w:r>
          </w:p>
        </w:tc>
        <w:tc>
          <w:tcPr>
            <w:tcW w:w="1460" w:type="dxa"/>
            <w:vAlign w:val="bottom"/>
            <w:tcBorders>
              <w:bottom w:val="single" w:sz="8" w:color="auto"/>
              <w:right w:val="single" w:sz="8" w:color="auto"/>
            </w:tcBorders>
            <w:gridSpan w:val="2"/>
          </w:tcPr>
          <w:p>
            <w:pPr>
              <w:jc w:val="right"/>
              <w:ind w:right="132"/>
              <w:spacing w:after="0" w:line="237" w:lineRule="exact"/>
              <w:rPr>
                <w:sz w:val="20"/>
                <w:szCs w:val="20"/>
                <w:color w:val="auto"/>
              </w:rPr>
            </w:pPr>
            <w:r>
              <w:rPr>
                <w:rFonts w:ascii="Arial" w:cs="Arial" w:eastAsia="Arial" w:hAnsi="Arial"/>
                <w:sz w:val="22"/>
                <w:szCs w:val="22"/>
                <w:color w:val="auto"/>
              </w:rPr>
              <w:t>137.9 M</w:t>
            </w:r>
          </w:p>
        </w:tc>
        <w:tc>
          <w:tcPr>
            <w:tcW w:w="1340" w:type="dxa"/>
            <w:vAlign w:val="bottom"/>
            <w:tcBorders>
              <w:bottom w:val="single" w:sz="8" w:color="auto"/>
              <w:right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75.8%</w:t>
            </w:r>
          </w:p>
        </w:tc>
        <w:tc>
          <w:tcPr>
            <w:tcW w:w="2060" w:type="dxa"/>
            <w:vAlign w:val="bottom"/>
            <w:tcBorders>
              <w:bottom w:val="single" w:sz="8" w:color="auto"/>
              <w:right w:val="single" w:sz="8" w:color="auto"/>
            </w:tcBorders>
            <w:gridSpan w:val="2"/>
          </w:tcPr>
          <w:p>
            <w:pPr>
              <w:jc w:val="right"/>
              <w:ind w:right="232"/>
              <w:spacing w:after="0" w:line="237" w:lineRule="exact"/>
              <w:rPr>
                <w:sz w:val="20"/>
                <w:szCs w:val="20"/>
                <w:color w:val="auto"/>
              </w:rPr>
            </w:pPr>
            <w:r>
              <w:rPr>
                <w:rFonts w:ascii="Arial" w:cs="Arial" w:eastAsia="Arial" w:hAnsi="Arial"/>
                <w:sz w:val="22"/>
                <w:szCs w:val="22"/>
                <w:color w:val="auto"/>
              </w:rPr>
              <w:t>104.5 M</w:t>
            </w:r>
          </w:p>
        </w:tc>
      </w:tr>
      <w:tr>
        <w:trPr>
          <w:trHeight w:val="237"/>
        </w:trPr>
        <w:tc>
          <w:tcPr>
            <w:tcW w:w="63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NuGen Energy, LLC</w:t>
            </w:r>
          </w:p>
        </w:tc>
        <w:tc>
          <w:tcPr>
            <w:tcW w:w="1460" w:type="dxa"/>
            <w:vAlign w:val="bottom"/>
            <w:tcBorders>
              <w:bottom w:val="single" w:sz="8" w:color="auto"/>
              <w:right w:val="single" w:sz="8" w:color="auto"/>
            </w:tcBorders>
            <w:gridSpan w:val="2"/>
          </w:tcPr>
          <w:p>
            <w:pPr>
              <w:jc w:val="right"/>
              <w:ind w:right="132"/>
              <w:spacing w:after="0" w:line="237" w:lineRule="exact"/>
              <w:rPr>
                <w:sz w:val="20"/>
                <w:szCs w:val="20"/>
                <w:color w:val="auto"/>
              </w:rPr>
            </w:pPr>
            <w:r>
              <w:rPr>
                <w:rFonts w:ascii="Arial" w:cs="Arial" w:eastAsia="Arial" w:hAnsi="Arial"/>
                <w:sz w:val="22"/>
                <w:szCs w:val="22"/>
                <w:color w:val="auto"/>
              </w:rPr>
              <w:t>137.8 M</w:t>
            </w:r>
          </w:p>
        </w:tc>
        <w:tc>
          <w:tcPr>
            <w:tcW w:w="1340" w:type="dxa"/>
            <w:vAlign w:val="bottom"/>
            <w:tcBorders>
              <w:bottom w:val="single" w:sz="8" w:color="auto"/>
              <w:right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99.7%</w:t>
            </w:r>
          </w:p>
        </w:tc>
        <w:tc>
          <w:tcPr>
            <w:tcW w:w="2060" w:type="dxa"/>
            <w:vAlign w:val="bottom"/>
            <w:tcBorders>
              <w:bottom w:val="single" w:sz="8" w:color="auto"/>
              <w:right w:val="single" w:sz="8" w:color="auto"/>
            </w:tcBorders>
            <w:gridSpan w:val="2"/>
          </w:tcPr>
          <w:p>
            <w:pPr>
              <w:jc w:val="right"/>
              <w:ind w:right="232"/>
              <w:spacing w:after="0" w:line="237" w:lineRule="exact"/>
              <w:rPr>
                <w:sz w:val="20"/>
                <w:szCs w:val="20"/>
                <w:color w:val="auto"/>
              </w:rPr>
            </w:pPr>
            <w:r>
              <w:rPr>
                <w:rFonts w:ascii="Arial" w:cs="Arial" w:eastAsia="Arial" w:hAnsi="Arial"/>
                <w:sz w:val="22"/>
                <w:szCs w:val="22"/>
                <w:color w:val="auto"/>
              </w:rPr>
              <w:t>137.4 M</w:t>
            </w:r>
          </w:p>
        </w:tc>
      </w:tr>
      <w:tr>
        <w:trPr>
          <w:trHeight w:val="215"/>
        </w:trPr>
        <w:tc>
          <w:tcPr>
            <w:tcW w:w="638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Big River Resources, LLC:</w:t>
            </w:r>
          </w:p>
        </w:tc>
        <w:tc>
          <w:tcPr>
            <w:tcW w:w="10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43"/>
        </w:trPr>
        <w:tc>
          <w:tcPr>
            <w:tcW w:w="638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Resources W Burlington, LLC</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110.3</w:t>
            </w:r>
          </w:p>
        </w:tc>
        <w:tc>
          <w:tcPr>
            <w:tcW w:w="46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color w:val="auto"/>
              </w:rPr>
              <w:t>M</w:t>
            </w:r>
          </w:p>
        </w:tc>
        <w:tc>
          <w:tcPr>
            <w:tcW w:w="13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color w:val="auto"/>
              </w:rPr>
              <w:t>10.3%</w:t>
            </w:r>
          </w:p>
        </w:tc>
        <w:tc>
          <w:tcPr>
            <w:tcW w:w="150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c>
          <w:tcPr>
            <w:tcW w:w="560" w:type="dxa"/>
            <w:vAlign w:val="bottom"/>
            <w:tcBorders>
              <w:right w:val="single" w:sz="8" w:color="auto"/>
            </w:tcBorders>
          </w:tcPr>
          <w:p>
            <w:pPr>
              <w:jc w:val="right"/>
              <w:ind w:right="232"/>
              <w:spacing w:after="0" w:line="243" w:lineRule="exact"/>
              <w:rPr>
                <w:sz w:val="20"/>
                <w:szCs w:val="20"/>
                <w:color w:val="auto"/>
              </w:rPr>
            </w:pPr>
            <w:r>
              <w:rPr>
                <w:rFonts w:ascii="Arial" w:cs="Arial" w:eastAsia="Arial" w:hAnsi="Arial"/>
                <w:sz w:val="22"/>
                <w:szCs w:val="22"/>
                <w:color w:val="auto"/>
              </w:rPr>
              <w:t>M</w:t>
            </w:r>
          </w:p>
        </w:tc>
      </w:tr>
      <w:tr>
        <w:trPr>
          <w:trHeight w:val="243"/>
        </w:trPr>
        <w:tc>
          <w:tcPr>
            <w:tcW w:w="638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Resources Galva, LLC</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116.0</w:t>
            </w:r>
          </w:p>
        </w:tc>
        <w:tc>
          <w:tcPr>
            <w:tcW w:w="46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color w:val="auto"/>
              </w:rPr>
              <w:t>M</w:t>
            </w:r>
          </w:p>
        </w:tc>
        <w:tc>
          <w:tcPr>
            <w:tcW w:w="13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color w:val="auto"/>
              </w:rPr>
              <w:t>10.3%</w:t>
            </w:r>
          </w:p>
        </w:tc>
        <w:tc>
          <w:tcPr>
            <w:tcW w:w="150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c>
          <w:tcPr>
            <w:tcW w:w="560" w:type="dxa"/>
            <w:vAlign w:val="bottom"/>
            <w:tcBorders>
              <w:right w:val="single" w:sz="8" w:color="auto"/>
            </w:tcBorders>
          </w:tcPr>
          <w:p>
            <w:pPr>
              <w:jc w:val="right"/>
              <w:ind w:right="232"/>
              <w:spacing w:after="0" w:line="243" w:lineRule="exact"/>
              <w:rPr>
                <w:sz w:val="20"/>
                <w:szCs w:val="20"/>
                <w:color w:val="auto"/>
              </w:rPr>
            </w:pPr>
            <w:r>
              <w:rPr>
                <w:rFonts w:ascii="Arial" w:cs="Arial" w:eastAsia="Arial" w:hAnsi="Arial"/>
                <w:sz w:val="22"/>
                <w:szCs w:val="22"/>
                <w:color w:val="auto"/>
              </w:rPr>
              <w:t>M</w:t>
            </w:r>
          </w:p>
        </w:tc>
      </w:tr>
      <w:tr>
        <w:trPr>
          <w:trHeight w:val="243"/>
        </w:trPr>
        <w:tc>
          <w:tcPr>
            <w:tcW w:w="6380" w:type="dxa"/>
            <w:vAlign w:val="bottom"/>
            <w:tcBorders>
              <w:left w:val="single" w:sz="8" w:color="auto"/>
              <w:right w:val="single" w:sz="8" w:color="auto"/>
            </w:tcBorders>
          </w:tcPr>
          <w:p>
            <w:pPr>
              <w:ind w:left="260"/>
              <w:spacing w:after="0" w:line="243" w:lineRule="exact"/>
              <w:rPr>
                <w:sz w:val="20"/>
                <w:szCs w:val="20"/>
                <w:color w:val="auto"/>
              </w:rPr>
            </w:pPr>
            <w:r>
              <w:rPr>
                <w:rFonts w:ascii="Arial" w:cs="Arial" w:eastAsia="Arial" w:hAnsi="Arial"/>
                <w:sz w:val="22"/>
                <w:szCs w:val="22"/>
                <w:color w:val="auto"/>
              </w:rPr>
              <w:t>Big River United Energy, LLC</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125.3</w:t>
            </w:r>
          </w:p>
        </w:tc>
        <w:tc>
          <w:tcPr>
            <w:tcW w:w="46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color w:val="auto"/>
              </w:rPr>
              <w:t>M</w:t>
            </w:r>
          </w:p>
        </w:tc>
        <w:tc>
          <w:tcPr>
            <w:tcW w:w="13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color w:val="auto"/>
              </w:rPr>
              <w:t>5.7%</w:t>
            </w:r>
          </w:p>
        </w:tc>
        <w:tc>
          <w:tcPr>
            <w:tcW w:w="15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c>
          <w:tcPr>
            <w:tcW w:w="560" w:type="dxa"/>
            <w:vAlign w:val="bottom"/>
            <w:tcBorders>
              <w:right w:val="single" w:sz="8" w:color="auto"/>
            </w:tcBorders>
          </w:tcPr>
          <w:p>
            <w:pPr>
              <w:jc w:val="right"/>
              <w:ind w:right="232"/>
              <w:spacing w:after="0" w:line="243" w:lineRule="exact"/>
              <w:rPr>
                <w:sz w:val="20"/>
                <w:szCs w:val="20"/>
                <w:color w:val="auto"/>
              </w:rPr>
            </w:pPr>
            <w:r>
              <w:rPr>
                <w:rFonts w:ascii="Arial" w:cs="Arial" w:eastAsia="Arial" w:hAnsi="Arial"/>
                <w:sz w:val="22"/>
                <w:szCs w:val="22"/>
                <w:color w:val="auto"/>
              </w:rPr>
              <w:t>M</w:t>
            </w:r>
          </w:p>
        </w:tc>
      </w:tr>
      <w:tr>
        <w:trPr>
          <w:trHeight w:val="264"/>
        </w:trPr>
        <w:tc>
          <w:tcPr>
            <w:tcW w:w="638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Big River Resources Boyceville, LLC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63.6</w:t>
            </w:r>
          </w:p>
        </w:tc>
        <w:tc>
          <w:tcPr>
            <w:tcW w:w="4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M</w:t>
            </w:r>
          </w:p>
        </w:tc>
        <w:tc>
          <w:tcPr>
            <w:tcW w:w="13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10.3%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w:t>
            </w:r>
          </w:p>
        </w:tc>
        <w:tc>
          <w:tcPr>
            <w:tcW w:w="56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22"/>
                <w:szCs w:val="22"/>
                <w:color w:val="auto"/>
              </w:rPr>
              <w:t>M</w:t>
            </w:r>
          </w:p>
        </w:tc>
      </w:tr>
      <w:tr>
        <w:trPr>
          <w:trHeight w:val="237"/>
        </w:trPr>
        <w:tc>
          <w:tcPr>
            <w:tcW w:w="63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Total</w:t>
            </w:r>
          </w:p>
        </w:tc>
        <w:tc>
          <w:tcPr>
            <w:tcW w:w="10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690.9</w:t>
            </w:r>
          </w:p>
        </w:tc>
        <w:tc>
          <w:tcPr>
            <w:tcW w:w="460" w:type="dxa"/>
            <w:vAlign w:val="bottom"/>
            <w:tcBorders>
              <w:bottom w:val="single" w:sz="8" w:color="auto"/>
              <w:right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M</w:t>
            </w:r>
          </w:p>
        </w:tc>
        <w:tc>
          <w:tcPr>
            <w:tcW w:w="13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278.9</w:t>
            </w:r>
          </w:p>
        </w:tc>
        <w:tc>
          <w:tcPr>
            <w:tcW w:w="560" w:type="dxa"/>
            <w:vAlign w:val="bottom"/>
            <w:tcBorders>
              <w:bottom w:val="single" w:sz="8" w:color="auto"/>
              <w:right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M</w:t>
            </w:r>
          </w:p>
        </w:tc>
      </w:tr>
    </w:tbl>
    <w:p>
      <w:pPr>
        <w:spacing w:after="0" w:line="22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and foreign trade.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We attempt to manage the risk related to the volatility of commodity prices by utilizing forward grain purchase, forward ethanol, distillers grains and corn oil sale contracts and commodity futures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6" w:name="page27"/>
    <w:bookmarkEnd w:id="26"/>
    <w:p>
      <w:pPr>
        <w:spacing w:after="0" w:line="245" w:lineRule="auto"/>
        <w:rPr>
          <w:sz w:val="20"/>
          <w:szCs w:val="20"/>
          <w:color w:val="auto"/>
        </w:rPr>
      </w:pPr>
      <w:r>
        <w:rPr>
          <w:rFonts w:ascii="Arial" w:cs="Arial" w:eastAsia="Arial" w:hAnsi="Arial"/>
          <w:sz w:val="21"/>
          <w:szCs w:val="21"/>
          <w:color w:val="auto"/>
        </w:rPr>
        <w:t>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along with a minority partner, for approximately $12.0 million. We own 95.35% of the entity. We began operating the refined coal facility immediately after the acquisition. We expect that the revenues from the sale of refined coal produced in the facility will be subsidized by federal production tax credits until November 18, 2021, subject to meeting qualified emissions reductions as governed by Section 45 of the Internal Revenue Code. In order to maintain compliance with Section 45 of the Internal Revenue Code, we were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$7.38 per ton of refined coal produced and sold during calendar year 2021. The tax credits were able to be earned for refined coal produced and sold by our facility until November 18, 2021. Absent the tax credits, our refined coal operations would not be profitable and we ceased operations of the facility on November 18, 2021. As such, beginning in the third quarter of fiscal year 2021, we are presenting the income from this operation within discontinued operations. At the conclusion of the operations we are obligated to remove the equipment from the site but do not expect the cost to exceed $250,000.</w:t>
      </w:r>
    </w:p>
    <w:p>
      <w:pPr>
        <w:spacing w:after="0" w:line="200" w:lineRule="exact"/>
        <w:rPr>
          <w:sz w:val="20"/>
          <w:szCs w:val="20"/>
          <w:color w:val="auto"/>
        </w:rPr>
      </w:pPr>
    </w:p>
    <w:p>
      <w:pPr>
        <w:spacing w:after="0" w:line="231"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The refined coal facility is located at the site of a utility-owned electrical generating power station, which is our refined coal operation’s sole customer. Refined coal production and sales vary depending on fluctuations in demand from the site host utility, which generally changes based upon weather conditions in the geographic markets, competing energy prices, lack of supplies and the state of the local economy. We contracted with an experienced third party to operate and maintain the refined coal facility and to provide us with management reporting and operating data as required. We do not have any employees on site at the refined coal facility.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2" w:right="39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214"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We have agreed to fund direct patent expenses relating to patent applications and defense, annual annuity fees and maintenance on a country by country basis, with the right to terminate funding and transfer related patent rights to Hytken. We have funded all costs relating to new intellectual property, consultants, research and development, and equipment purchases with respect to the proposed commercialization stage of the technology. To date, we have paid and expensed approximately $2.5 million cumulatively to purchase our ownership interest and fund patent and other expenses. We have not yet tested or proven the commercial feasibility of the technology.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During the three months ended October 31, 2021, we did not change any of our critical accounting policies as disclosed in our 2020 Annual Report on Form 10-K as filed with the Securities and Exchange Commission on April 12, 2021.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2021” means the period February 1, 2021 to January 31, 2022.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jc w:val="both"/>
        <w:ind w:right="240" w:firstLine="648"/>
        <w:spacing w:after="0"/>
        <w:rPr>
          <w:sz w:val="20"/>
          <w:szCs w:val="20"/>
          <w:color w:val="auto"/>
        </w:rPr>
      </w:pPr>
      <w:r>
        <w:rPr>
          <w:rFonts w:ascii="Arial" w:cs="Arial" w:eastAsia="Arial" w:hAnsi="Arial"/>
          <w:sz w:val="22"/>
          <w:szCs w:val="22"/>
          <w:color w:val="auto"/>
        </w:rPr>
        <w:t>In recent years, operating results in our ethanol and by-products business have been, at times affected by a weak margin environment including such factors as higher costs for corn, including increased basis over index pricing, lower availability of local corn, lower ethanol demand and the EPA granting small refiner waivers.</w:t>
      </w:r>
    </w:p>
    <w:p>
      <w:pPr>
        <w:spacing w:after="0" w:line="213" w:lineRule="exact"/>
        <w:rPr>
          <w:sz w:val="20"/>
          <w:szCs w:val="20"/>
          <w:color w:val="auto"/>
        </w:rPr>
      </w:pPr>
    </w:p>
    <w:p>
      <w:pPr>
        <w:ind w:right="120" w:firstLine="648"/>
        <w:spacing w:after="0" w:line="246" w:lineRule="auto"/>
        <w:rPr>
          <w:sz w:val="20"/>
          <w:szCs w:val="20"/>
          <w:color w:val="auto"/>
        </w:rPr>
      </w:pPr>
      <w:r>
        <w:rPr>
          <w:rFonts w:ascii="Arial" w:cs="Arial" w:eastAsia="Arial" w:hAnsi="Arial"/>
          <w:sz w:val="21"/>
          <w:szCs w:val="21"/>
          <w:color w:val="auto"/>
        </w:rPr>
        <w:t>During the early months of 2020, COVID-19 spread into the United States and other countries. 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This led to reduced demand for gasoline and ethanol, which consequently resulted in historically low ethanol pricing. As a result, we idled our NuGen and One Earth ethanol plants in March of 2020. In May of 2020, businesses and other activities slowly began to reopen, which led to an increase in demand for gasoline and ethanol, and in related prices. As a result, we resumed production operations at the One Earth ethanol plant in late May of 2020 and at NuGen in late June of 2020. In addition, actions by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8" w:name="page29"/>
    <w:bookmarkEnd w:id="28"/>
    <w:p>
      <w:pPr>
        <w:ind w:right="100"/>
        <w:spacing w:after="0" w:line="236" w:lineRule="auto"/>
        <w:rPr>
          <w:sz w:val="20"/>
          <w:szCs w:val="20"/>
          <w:color w:val="auto"/>
        </w:rPr>
      </w:pPr>
      <w:r>
        <w:rPr>
          <w:rFonts w:ascii="Arial" w:cs="Arial" w:eastAsia="Arial" w:hAnsi="Arial"/>
          <w:sz w:val="22"/>
          <w:szCs w:val="22"/>
          <w:color w:val="auto"/>
        </w:rPr>
        <w:t>Federal Reserve related to the COVID-19 outbreak, reduced interest rates. Given the amount of cash and short-term investments we have, this has reduced our interest income and could continue in future periods, depending on the length of time interest rates remain at these levels. The impacts of the COVID-19 outbreak continues to evolve and the duration and impact of the outbreak remains uncertain. We did not incur significant disruptions in our business operations from COVID-19 for the three and nine months ended October 31, 2021.</w:t>
      </w:r>
    </w:p>
    <w:p>
      <w:pPr>
        <w:spacing w:after="0" w:line="21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Congress passed the CARES Act in March 2020, which provided the United States Department of Agriculture (“USDA”) with additional funding from the Commodity Credit Corporation. The USDA is using this additional funding to provide direct payments to farmers, including farmers that we purchase corn from. Such direct payments to farmers could cause further delays in marketing decisions. Consequently, this could reduce the supply of available corn and could result in a price increase. In addition, China has been purchasing large quantities of corn, which has led to higher prices for corn. We have experienced an increase in the local basis price paid for corn over the Chicago Board of Trade prices for corn during the first nine months of fiscal year 2021.</w:t>
      </w:r>
    </w:p>
    <w:p>
      <w:pPr>
        <w:spacing w:after="0" w:line="218"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Renewable Fuel Standard II (“RFS II”), established in October 2010, has been an important factor in the growth of ethanol usage in the United States. When it was originally established by Congress, RFS II required the volume of “conventional” or corn derived ethanol to be blended with gasoline to increase each year until it reached 15.0 billion gallons in 2015 and was to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On December 19, 2019, the EPA announced the 2020 renewable volume obligation for conventional ethanol, which met the 15.0 billion gallons congressional target. The EPA has missed its deadline and has not yet released a draft renewable volume obligation rule for the 2021 volumes. Proposed 2022 volumes from the EPA were due by November 30, 2021, but have not yet been released. The EPA has recently proposed giving all obligated parties more time to prove compliance with the 2020 and 2021 biofuel blending mandates. The EPA is also proposing to change the way subsequent years’ RFS compliance deadlines are determined.</w:t>
      </w:r>
    </w:p>
    <w:p>
      <w:pPr>
        <w:spacing w:after="0" w:line="182"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On April 15, 2020, five state Governors sent a letter to the EPA requesting a general waiver of the RFS II requirements due to the drop in demand caused by COVID-19 travel restrictions. On October 21, 2020, 15 U.S. Senators sent a letter to the EPA requesting a general waiver of the RFS II requirements to reduce the 2021 renewable volume obligation, citing the reduced demand for fuels due to COVID-19. There have been additional petitions for waivers filed based upon COVID-19 restrictions.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RFS II requirements have been reduced through small refiner waivers (SRWs) issued by the EPA. The SRWs issued have been for approximately 4.0 billion gallons for 85 refinery exemptions for 2016 through 2018. In January 2020, the U.S. Court of</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9"/>
          <w:szCs w:val="19"/>
          <w:color w:val="auto"/>
        </w:rPr>
        <w:t>Appeals for the 10</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Circuit overturned the EPA’s granting of refinery exemptions for three refineries on two separate grounds. Two of the refiners appealed the decision to the U.S. Supreme Court. On June 25, 2021, the Supreme Court of the United States</w:t>
      </w:r>
    </w:p>
    <w:p>
      <w:pPr>
        <w:ind w:right="160"/>
        <w:spacing w:after="0" w:line="217" w:lineRule="auto"/>
        <w:rPr>
          <w:sz w:val="20"/>
          <w:szCs w:val="20"/>
          <w:color w:val="auto"/>
        </w:rPr>
      </w:pPr>
      <w:r>
        <w:rPr>
          <w:rFonts w:ascii="Arial" w:cs="Arial" w:eastAsia="Arial" w:hAnsi="Arial"/>
          <w:sz w:val="21"/>
          <w:szCs w:val="21"/>
          <w:color w:val="auto"/>
        </w:rPr>
        <w:t>ruled in favor of small refiners and reversed a portion of the decision by the U.S Court of Appeals for the 10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Circuit on SRWs. It only reversed the interpretation of “extension” of a waiver but not the economic hardship portion of the decision. It remains unclear how the Supreme Court decision may impact the EPA’s handing of SRWs.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9" w:name="page30"/>
    <w:bookmarkEnd w:id="29"/>
    <w:p>
      <w:pPr>
        <w:ind w:firstLine="648"/>
        <w:spacing w:after="0" w:line="238" w:lineRule="auto"/>
        <w:rPr>
          <w:sz w:val="20"/>
          <w:szCs w:val="20"/>
          <w:color w:val="auto"/>
        </w:rPr>
      </w:pPr>
      <w:r>
        <w:rPr>
          <w:rFonts w:ascii="Arial" w:cs="Arial" w:eastAsia="Arial" w:hAnsi="Arial"/>
          <w:sz w:val="22"/>
          <w:szCs w:val="22"/>
          <w:color w:val="auto"/>
        </w:rPr>
        <w:t>Throughout fiscal year 2020 and the first nine months of fiscal year 2021, operating results in our refined coal business were affected by inconsistent utility plant demand (our only customer). As we are no longer able to earn tax credits from refined coal beginning November 18, 2021, we have ceased operation of the facility after that date and have classified it as discontinued operations.</w:t>
      </w:r>
    </w:p>
    <w:p>
      <w:pPr>
        <w:spacing w:after="0" w:line="212" w:lineRule="exact"/>
        <w:rPr>
          <w:sz w:val="20"/>
          <w:szCs w:val="20"/>
          <w:color w:val="auto"/>
        </w:rPr>
      </w:pPr>
    </w:p>
    <w:p>
      <w:pPr>
        <w:jc w:val="center"/>
        <w:ind w:right="120"/>
        <w:spacing w:after="0" w:line="430" w:lineRule="auto"/>
        <w:rPr>
          <w:sz w:val="20"/>
          <w:szCs w:val="20"/>
          <w:color w:val="auto"/>
        </w:rPr>
      </w:pPr>
      <w:r>
        <w:rPr>
          <w:rFonts w:ascii="Arial" w:cs="Arial" w:eastAsia="Arial" w:hAnsi="Arial"/>
          <w:sz w:val="22"/>
          <w:szCs w:val="22"/>
          <w:color w:val="auto"/>
        </w:rPr>
        <w:t>Should these trends and uncertainties continue, our future operating results are likely to be negatively impacted.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402" w:right="4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80"/>
        </w:trPr>
        <w:tc>
          <w:tcPr>
            <w:tcW w:w="7020" w:type="dxa"/>
            <w:vAlign w:val="bottom"/>
            <w:gridSpan w:val="7"/>
          </w:tcPr>
          <w:p>
            <w:pPr>
              <w:spacing w:after="0"/>
              <w:rPr>
                <w:sz w:val="20"/>
                <w:szCs w:val="20"/>
                <w:color w:val="auto"/>
              </w:rPr>
            </w:pPr>
            <w:r>
              <w:rPr>
                <w:rFonts w:ascii="Arial" w:cs="Arial" w:eastAsia="Arial" w:hAnsi="Arial"/>
                <w:sz w:val="22"/>
                <w:szCs w:val="22"/>
                <w:b w:val="1"/>
                <w:bCs w:val="1"/>
                <w:color w:val="auto"/>
                <w:w w:val="92"/>
              </w:rPr>
              <w:t>Comparison of Three and Nine Months Ended October 31, 2021 and 2020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700" w:type="dxa"/>
            <w:vAlign w:val="bottom"/>
            <w:gridSpan w:val="13"/>
          </w:tcPr>
          <w:p>
            <w:pPr>
              <w:ind w:left="660"/>
              <w:spacing w:after="0"/>
              <w:rPr>
                <w:sz w:val="20"/>
                <w:szCs w:val="20"/>
                <w:color w:val="auto"/>
              </w:rPr>
            </w:pPr>
            <w:r>
              <w:rPr>
                <w:rFonts w:ascii="Arial" w:cs="Arial" w:eastAsia="Arial" w:hAnsi="Arial"/>
                <w:sz w:val="22"/>
                <w:szCs w:val="22"/>
                <w:color w:val="auto"/>
                <w:w w:val="96"/>
              </w:rPr>
              <w:t>The following tables summarizes our results from operations (amounts 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10"/>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8"/>
          </w:tcPr>
          <w:p>
            <w:pPr>
              <w:jc w:val="right"/>
              <w:ind w:right="40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9"/>
          </w:tcPr>
          <w:p>
            <w:pPr>
              <w:ind w:left="420"/>
              <w:spacing w:after="0" w:line="243" w:lineRule="exact"/>
              <w:rPr>
                <w:sz w:val="20"/>
                <w:szCs w:val="20"/>
                <w:color w:val="auto"/>
              </w:rPr>
            </w:pPr>
            <w:r>
              <w:rPr>
                <w:rFonts w:ascii="Arial" w:cs="Arial" w:eastAsia="Arial" w:hAnsi="Arial"/>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400"/>
              <w:spacing w:after="0" w:line="243" w:lineRule="exact"/>
              <w:rPr>
                <w:sz w:val="20"/>
                <w:szCs w:val="20"/>
                <w:color w:val="auto"/>
              </w:rPr>
            </w:pPr>
            <w:r>
              <w:rPr>
                <w:rFonts w:ascii="Arial" w:cs="Arial" w:eastAsia="Arial" w:hAnsi="Arial"/>
                <w:sz w:val="22"/>
                <w:szCs w:val="22"/>
                <w:b w:val="1"/>
                <w:bCs w:val="1"/>
                <w:color w:val="auto"/>
              </w:rPr>
              <w:t>October 31,</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ind w:left="100"/>
              <w:spacing w:after="0" w:line="230" w:lineRule="exact"/>
              <w:rPr>
                <w:sz w:val="20"/>
                <w:szCs w:val="20"/>
                <w:color w:val="auto"/>
              </w:rPr>
            </w:pPr>
            <w:r>
              <w:rPr>
                <w:rFonts w:ascii="Arial" w:cs="Arial" w:eastAsia="Arial" w:hAnsi="Arial"/>
                <w:sz w:val="22"/>
                <w:szCs w:val="22"/>
                <w:b w:val="1"/>
                <w:bCs w:val="1"/>
                <w:color w:val="auto"/>
                <w:w w:val="85"/>
              </w:rPr>
              <w:t>2021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203,066</w:t>
            </w:r>
          </w:p>
        </w:tc>
        <w:tc>
          <w:tcPr>
            <w:tcW w:w="240" w:type="dxa"/>
            <w:vAlign w:val="bottom"/>
            <w:shd w:val="clear" w:color="auto" w:fill="E5FFFF"/>
          </w:tcPr>
          <w:p>
            <w:pPr>
              <w:spacing w:after="0"/>
              <w:rPr>
                <w:sz w:val="21"/>
                <w:szCs w:val="21"/>
                <w:color w:val="auto"/>
              </w:rPr>
            </w:pPr>
          </w:p>
        </w:tc>
        <w:tc>
          <w:tcPr>
            <w:tcW w:w="42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124,217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w w:val="98"/>
              </w:rPr>
              <w:t>562,786</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4"/>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246,694</w:t>
            </w:r>
          </w:p>
        </w:tc>
        <w:tc>
          <w:tcPr>
            <w:tcW w:w="0" w:type="dxa"/>
            <w:vAlign w:val="bottom"/>
          </w:tcPr>
          <w:p>
            <w:pPr>
              <w:spacing w:after="0"/>
              <w:rPr>
                <w:sz w:val="1"/>
                <w:szCs w:val="1"/>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color w:val="auto"/>
              </w:rPr>
              <w:t>Cost of sales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177,914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105,288</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w w:val="98"/>
              </w:rPr>
              <w:t>504,003</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Arial" w:cs="Arial" w:eastAsia="Arial" w:hAnsi="Arial"/>
                <w:sz w:val="22"/>
                <w:szCs w:val="22"/>
                <w:color w:val="auto"/>
              </w:rPr>
              <w:t>235,435</w:t>
            </w:r>
          </w:p>
        </w:tc>
        <w:tc>
          <w:tcPr>
            <w:tcW w:w="0" w:type="dxa"/>
            <w:vAlign w:val="bottom"/>
          </w:tcPr>
          <w:p>
            <w:pPr>
              <w:spacing w:after="0"/>
              <w:rPr>
                <w:sz w:val="1"/>
                <w:szCs w:val="1"/>
                <w:color w:val="auto"/>
              </w:rPr>
            </w:pPr>
          </w:p>
        </w:tc>
      </w:tr>
      <w:tr>
        <w:trPr>
          <w:trHeight w:val="237"/>
        </w:trPr>
        <w:tc>
          <w:tcPr>
            <w:tcW w:w="55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Gross profit</w:t>
            </w:r>
          </w:p>
        </w:tc>
        <w:tc>
          <w:tcPr>
            <w:tcW w:w="2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25,152</w:t>
            </w:r>
          </w:p>
        </w:tc>
        <w:tc>
          <w:tcPr>
            <w:tcW w:w="24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18,929</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58,783</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11,259</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00" w:type="dxa"/>
            <w:vAlign w:val="bottom"/>
          </w:tcPr>
          <w:p>
            <w:pPr>
              <w:spacing w:after="0"/>
              <w:rPr>
                <w:sz w:val="20"/>
                <w:szCs w:val="20"/>
                <w:color w:val="auto"/>
              </w:rPr>
            </w:pPr>
            <w:r>
              <w:rPr>
                <w:rFonts w:ascii="Arial" w:cs="Arial" w:eastAsia="Arial" w:hAnsi="Arial"/>
                <w:sz w:val="22"/>
                <w:szCs w:val="22"/>
                <w:color w:val="auto"/>
              </w:rPr>
              <w:t>Income (loss) before income taxes</w:t>
            </w:r>
          </w:p>
        </w:tc>
        <w:tc>
          <w:tcPr>
            <w:tcW w:w="4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19,226</w:t>
            </w:r>
          </w:p>
        </w:tc>
        <w:tc>
          <w:tcPr>
            <w:tcW w:w="240" w:type="dxa"/>
            <w:vAlign w:val="bottom"/>
          </w:tcPr>
          <w:p>
            <w:pPr>
              <w:spacing w:after="0"/>
              <w:rPr>
                <w:sz w:val="24"/>
                <w:szCs w:val="24"/>
                <w:color w:val="auto"/>
              </w:rPr>
            </w:pPr>
          </w:p>
        </w:tc>
        <w:tc>
          <w:tcPr>
            <w:tcW w:w="420" w:type="dxa"/>
            <w:vAlign w:val="bottom"/>
            <w:gridSpan w:val="2"/>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16,349</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39,219</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4"/>
          </w:tcPr>
          <w:p>
            <w:pPr>
              <w:jc w:val="right"/>
              <w:ind w:right="100"/>
              <w:spacing w:after="0"/>
              <w:rPr>
                <w:sz w:val="20"/>
                <w:szCs w:val="20"/>
                <w:color w:val="auto"/>
              </w:rPr>
            </w:pPr>
            <w:r>
              <w:rPr>
                <w:rFonts w:ascii="Arial" w:cs="Arial" w:eastAsia="Arial" w:hAnsi="Arial"/>
                <w:sz w:val="22"/>
                <w:szCs w:val="22"/>
                <w:color w:val="auto"/>
              </w:rPr>
              <w:t>(577)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E5FFFF"/>
          </w:tcPr>
          <w:p>
            <w:pPr>
              <w:spacing w:after="0"/>
              <w:rPr>
                <w:sz w:val="20"/>
                <w:szCs w:val="20"/>
                <w:color w:val="auto"/>
              </w:rPr>
            </w:pPr>
            <w:r>
              <w:rPr>
                <w:rFonts w:ascii="Arial" w:cs="Arial" w:eastAsia="Arial" w:hAnsi="Arial"/>
                <w:sz w:val="22"/>
                <w:szCs w:val="22"/>
                <w:color w:val="auto"/>
              </w:rPr>
              <w:t>(Provision) benefit for income taxes</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(4,338)</w:t>
            </w:r>
          </w:p>
        </w:tc>
        <w:tc>
          <w:tcPr>
            <w:tcW w:w="240" w:type="dxa"/>
            <w:vAlign w:val="bottom"/>
            <w:shd w:val="clear" w:color="auto" w:fill="E5FFFF"/>
          </w:tcPr>
          <w:p>
            <w:pPr>
              <w:spacing w:after="0"/>
              <w:rPr>
                <w:sz w:val="22"/>
                <w:szCs w:val="22"/>
                <w:color w:val="auto"/>
              </w:rPr>
            </w:pPr>
          </w:p>
        </w:tc>
        <w:tc>
          <w:tcPr>
            <w:tcW w:w="420" w:type="dxa"/>
            <w:vAlign w:val="bottom"/>
            <w:gridSpan w:val="2"/>
            <w:shd w:val="clear" w:color="auto" w:fill="E5FFFF"/>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(5,037)</w:t>
            </w:r>
          </w:p>
        </w:tc>
        <w:tc>
          <w:tcPr>
            <w:tcW w:w="440" w:type="dxa"/>
            <w:vAlign w:val="bottom"/>
            <w:shd w:val="clear" w:color="auto" w:fill="E5FFFF"/>
          </w:tcPr>
          <w:p>
            <w:pPr>
              <w:spacing w:after="0"/>
              <w:rPr>
                <w:sz w:val="22"/>
                <w:szCs w:val="22"/>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rPr>
                <w:sz w:val="20"/>
                <w:szCs w:val="20"/>
                <w:color w:val="auto"/>
              </w:rPr>
            </w:pPr>
            <w:r>
              <w:rPr>
                <w:rFonts w:ascii="Arial" w:cs="Arial" w:eastAsia="Arial" w:hAnsi="Arial"/>
                <w:sz w:val="22"/>
                <w:szCs w:val="22"/>
                <w:color w:val="auto"/>
              </w:rPr>
              <w:t>(8,329)</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22"/>
                <w:szCs w:val="22"/>
                <w:color w:val="auto"/>
              </w:rPr>
              <w:t>444</w:t>
            </w:r>
          </w:p>
        </w:tc>
        <w:tc>
          <w:tcPr>
            <w:tcW w:w="0" w:type="dxa"/>
            <w:vAlign w:val="bottom"/>
          </w:tcPr>
          <w:p>
            <w:pPr>
              <w:spacing w:after="0"/>
              <w:rPr>
                <w:sz w:val="1"/>
                <w:szCs w:val="1"/>
                <w:color w:val="auto"/>
              </w:rPr>
            </w:pPr>
          </w:p>
        </w:tc>
      </w:tr>
      <w:tr>
        <w:trPr>
          <w:trHeight w:val="20"/>
        </w:trPr>
        <w:tc>
          <w:tcPr>
            <w:tcW w:w="550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22"/>
                <w:szCs w:val="22"/>
                <w:color w:val="auto"/>
                <w:w w:val="93"/>
              </w:rPr>
              <w:t>Net income (loss) attributable to REX common shareholders</w:t>
            </w: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500" w:type="dxa"/>
            <w:vAlign w:val="bottom"/>
            <w:vMerge w:val="continue"/>
          </w:tcPr>
          <w:p>
            <w:pPr>
              <w:spacing w:after="0"/>
              <w:rPr>
                <w:sz w:val="24"/>
                <w:szCs w:val="24"/>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vMerge w:val="restart"/>
          </w:tcPr>
          <w:p>
            <w:pPr>
              <w:jc w:val="right"/>
              <w:spacing w:after="0"/>
              <w:rPr>
                <w:sz w:val="20"/>
                <w:szCs w:val="20"/>
                <w:color w:val="auto"/>
              </w:rPr>
            </w:pPr>
            <w:r>
              <w:rPr>
                <w:rFonts w:ascii="Arial" w:cs="Arial" w:eastAsia="Arial" w:hAnsi="Arial"/>
                <w:sz w:val="22"/>
                <w:szCs w:val="22"/>
                <w:color w:val="auto"/>
              </w:rPr>
              <w:t>13,326</w:t>
            </w:r>
          </w:p>
        </w:tc>
        <w:tc>
          <w:tcPr>
            <w:tcW w:w="240" w:type="dxa"/>
            <w:vAlign w:val="bottom"/>
          </w:tcPr>
          <w:p>
            <w:pPr>
              <w:spacing w:after="0"/>
              <w:rPr>
                <w:sz w:val="24"/>
                <w:szCs w:val="24"/>
                <w:color w:val="auto"/>
              </w:rPr>
            </w:pPr>
          </w:p>
        </w:tc>
        <w:tc>
          <w:tcPr>
            <w:tcW w:w="420" w:type="dxa"/>
            <w:vAlign w:val="bottom"/>
            <w:gridSpan w:val="2"/>
            <w:vMerge w:val="restart"/>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22"/>
                <w:szCs w:val="22"/>
                <w:color w:val="auto"/>
              </w:rPr>
              <w:t>9,036</w:t>
            </w:r>
          </w:p>
        </w:tc>
        <w:tc>
          <w:tcPr>
            <w:tcW w:w="44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vMerge w:val="restart"/>
          </w:tcPr>
          <w:p>
            <w:pPr>
              <w:jc w:val="right"/>
              <w:ind w:right="440"/>
              <w:spacing w:after="0"/>
              <w:rPr>
                <w:sz w:val="20"/>
                <w:szCs w:val="20"/>
                <w:color w:val="auto"/>
              </w:rPr>
            </w:pPr>
            <w:r>
              <w:rPr>
                <w:rFonts w:ascii="Arial" w:cs="Arial" w:eastAsia="Arial" w:hAnsi="Arial"/>
                <w:sz w:val="22"/>
                <w:szCs w:val="22"/>
                <w:color w:val="auto"/>
              </w:rPr>
              <w:t>26,305</w:t>
            </w:r>
          </w:p>
        </w:tc>
        <w:tc>
          <w:tcPr>
            <w:tcW w:w="180" w:type="dxa"/>
            <w:vAlign w:val="bottom"/>
            <w:vMerge w:val="restart"/>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4"/>
            <w:vMerge w:val="restart"/>
          </w:tcPr>
          <w:p>
            <w:pPr>
              <w:jc w:val="right"/>
              <w:ind w:right="100"/>
              <w:spacing w:after="0"/>
              <w:rPr>
                <w:sz w:val="20"/>
                <w:szCs w:val="20"/>
                <w:color w:val="auto"/>
              </w:rPr>
            </w:pPr>
            <w:r>
              <w:rPr>
                <w:rFonts w:ascii="Arial" w:cs="Arial" w:eastAsia="Arial" w:hAnsi="Arial"/>
                <w:sz w:val="22"/>
                <w:szCs w:val="22"/>
                <w:color w:val="auto"/>
              </w:rPr>
              <w:t>(1,464)</w:t>
            </w:r>
          </w:p>
        </w:tc>
        <w:tc>
          <w:tcPr>
            <w:tcW w:w="0" w:type="dxa"/>
            <w:vAlign w:val="bottom"/>
          </w:tcPr>
          <w:p>
            <w:pPr>
              <w:spacing w:after="0"/>
              <w:rPr>
                <w:sz w:val="1"/>
                <w:szCs w:val="1"/>
                <w:color w:val="auto"/>
              </w:rPr>
            </w:pPr>
          </w:p>
        </w:tc>
      </w:tr>
      <w:tr>
        <w:trPr>
          <w:trHeight w:val="251"/>
        </w:trPr>
        <w:tc>
          <w:tcPr>
            <w:tcW w:w="5500" w:type="dxa"/>
            <w:vAlign w:val="bottom"/>
          </w:tcPr>
          <w:p>
            <w:pPr>
              <w:spacing w:after="0" w:line="251" w:lineRule="exact"/>
              <w:rPr>
                <w:sz w:val="20"/>
                <w:szCs w:val="20"/>
                <w:color w:val="auto"/>
              </w:rPr>
            </w:pPr>
            <w:r>
              <w:rPr>
                <w:rFonts w:ascii="Arial" w:cs="Arial" w:eastAsia="Arial" w:hAnsi="Arial"/>
                <w:sz w:val="22"/>
                <w:szCs w:val="22"/>
                <w:color w:val="auto"/>
              </w:rPr>
              <w:t>(continuing operations)</w:t>
            </w:r>
          </w:p>
        </w:tc>
        <w:tc>
          <w:tcPr>
            <w:tcW w:w="4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240" w:type="dxa"/>
            <w:vAlign w:val="bottom"/>
            <w:gridSpan w:val="4"/>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00" w:type="dxa"/>
            <w:vAlign w:val="bottom"/>
            <w:shd w:val="clear" w:color="auto" w:fill="E5FFFF"/>
          </w:tcPr>
          <w:p>
            <w:pPr>
              <w:spacing w:after="0" w:line="222" w:lineRule="exact"/>
              <w:rPr>
                <w:sz w:val="20"/>
                <w:szCs w:val="20"/>
                <w:color w:val="auto"/>
              </w:rPr>
            </w:pPr>
            <w:r>
              <w:rPr>
                <w:rFonts w:ascii="Arial" w:cs="Arial" w:eastAsia="Arial" w:hAnsi="Arial"/>
                <w:sz w:val="22"/>
                <w:szCs w:val="22"/>
                <w:color w:val="auto"/>
                <w:w w:val="93"/>
              </w:rPr>
              <w:t>Net income (loss) attributable to REX common shareholders</w:t>
            </w:r>
          </w:p>
        </w:tc>
        <w:tc>
          <w:tcPr>
            <w:tcW w:w="440" w:type="dxa"/>
            <w:vAlign w:val="bottom"/>
            <w:gridSpan w:val="2"/>
            <w:vMerge w:val="restart"/>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vMerge w:val="restart"/>
            <w:shd w:val="clear" w:color="auto" w:fill="E5FFFF"/>
          </w:tcPr>
          <w:p>
            <w:pPr>
              <w:jc w:val="right"/>
              <w:spacing w:after="0"/>
              <w:rPr>
                <w:sz w:val="20"/>
                <w:szCs w:val="20"/>
                <w:color w:val="auto"/>
              </w:rPr>
            </w:pPr>
            <w:r>
              <w:rPr>
                <w:rFonts w:ascii="Arial" w:cs="Arial" w:eastAsia="Arial" w:hAnsi="Arial"/>
                <w:sz w:val="22"/>
                <w:szCs w:val="22"/>
                <w:color w:val="auto"/>
              </w:rPr>
              <w:t>1,952</w:t>
            </w:r>
          </w:p>
        </w:tc>
        <w:tc>
          <w:tcPr>
            <w:tcW w:w="240" w:type="dxa"/>
            <w:vAlign w:val="bottom"/>
            <w:shd w:val="clear" w:color="auto" w:fill="E5FFFF"/>
          </w:tcPr>
          <w:p>
            <w:pPr>
              <w:spacing w:after="0"/>
              <w:rPr>
                <w:sz w:val="19"/>
                <w:szCs w:val="19"/>
                <w:color w:val="auto"/>
              </w:rPr>
            </w:pPr>
          </w:p>
        </w:tc>
        <w:tc>
          <w:tcPr>
            <w:tcW w:w="420" w:type="dxa"/>
            <w:vAlign w:val="bottom"/>
            <w:gridSpan w:val="2"/>
            <w:vMerge w:val="restart"/>
            <w:shd w:val="clear" w:color="auto" w:fill="E5FFFF"/>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vMerge w:val="restart"/>
            <w:shd w:val="clear" w:color="auto" w:fill="E5FFFF"/>
          </w:tcPr>
          <w:p>
            <w:pPr>
              <w:jc w:val="right"/>
              <w:spacing w:after="0"/>
              <w:rPr>
                <w:sz w:val="20"/>
                <w:szCs w:val="20"/>
                <w:color w:val="auto"/>
              </w:rPr>
            </w:pPr>
            <w:r>
              <w:rPr>
                <w:rFonts w:ascii="Arial" w:cs="Arial" w:eastAsia="Arial" w:hAnsi="Arial"/>
                <w:sz w:val="22"/>
                <w:szCs w:val="22"/>
                <w:color w:val="auto"/>
              </w:rPr>
              <w:t>(195)</w:t>
            </w:r>
          </w:p>
        </w:tc>
        <w:tc>
          <w:tcPr>
            <w:tcW w:w="440" w:type="dxa"/>
            <w:vAlign w:val="bottom"/>
            <w:shd w:val="clear" w:color="auto" w:fill="E5FFFF"/>
          </w:tcPr>
          <w:p>
            <w:pPr>
              <w:spacing w:after="0"/>
              <w:rPr>
                <w:sz w:val="19"/>
                <w:szCs w:val="19"/>
                <w:color w:val="auto"/>
              </w:rPr>
            </w:pPr>
          </w:p>
        </w:tc>
        <w:tc>
          <w:tcPr>
            <w:tcW w:w="200" w:type="dxa"/>
            <w:vAlign w:val="bottom"/>
            <w:vMerge w:val="restart"/>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vMerge w:val="restart"/>
            <w:shd w:val="clear" w:color="auto" w:fill="E5FFFF"/>
          </w:tcPr>
          <w:p>
            <w:pPr>
              <w:jc w:val="right"/>
              <w:ind w:right="440"/>
              <w:spacing w:after="0"/>
              <w:rPr>
                <w:sz w:val="20"/>
                <w:szCs w:val="20"/>
                <w:color w:val="auto"/>
              </w:rPr>
            </w:pPr>
            <w:r>
              <w:rPr>
                <w:rFonts w:ascii="Arial" w:cs="Arial" w:eastAsia="Arial" w:hAnsi="Arial"/>
                <w:sz w:val="22"/>
                <w:szCs w:val="22"/>
                <w:color w:val="auto"/>
              </w:rPr>
              <w:t>4,633</w:t>
            </w:r>
          </w:p>
        </w:tc>
        <w:tc>
          <w:tcPr>
            <w:tcW w:w="180" w:type="dxa"/>
            <w:vAlign w:val="bottom"/>
            <w:vMerge w:val="restart"/>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20" w:type="dxa"/>
            <w:vAlign w:val="bottom"/>
            <w:gridSpan w:val="4"/>
            <w:vMerge w:val="restart"/>
            <w:shd w:val="clear" w:color="auto" w:fill="E5FFFF"/>
          </w:tcPr>
          <w:p>
            <w:pPr>
              <w:jc w:val="right"/>
              <w:ind w:right="100"/>
              <w:spacing w:after="0"/>
              <w:rPr>
                <w:sz w:val="20"/>
                <w:szCs w:val="20"/>
                <w:color w:val="auto"/>
              </w:rPr>
            </w:pPr>
            <w:r>
              <w:rPr>
                <w:rFonts w:ascii="Arial" w:cs="Arial" w:eastAsia="Arial" w:hAnsi="Arial"/>
                <w:sz w:val="22"/>
                <w:szCs w:val="22"/>
                <w:color w:val="auto"/>
              </w:rPr>
              <w:t>922</w:t>
            </w:r>
          </w:p>
        </w:tc>
        <w:tc>
          <w:tcPr>
            <w:tcW w:w="0" w:type="dxa"/>
            <w:vAlign w:val="bottom"/>
          </w:tcPr>
          <w:p>
            <w:pPr>
              <w:spacing w:after="0"/>
              <w:rPr>
                <w:sz w:val="1"/>
                <w:szCs w:val="1"/>
                <w:color w:val="auto"/>
              </w:rPr>
            </w:pPr>
          </w:p>
        </w:tc>
      </w:tr>
      <w:tr>
        <w:trPr>
          <w:trHeight w:val="251"/>
        </w:trPr>
        <w:tc>
          <w:tcPr>
            <w:tcW w:w="5500" w:type="dxa"/>
            <w:vAlign w:val="bottom"/>
            <w:shd w:val="clear" w:color="auto" w:fill="E5FFFF"/>
          </w:tcPr>
          <w:p>
            <w:pPr>
              <w:spacing w:after="0" w:line="251" w:lineRule="exact"/>
              <w:rPr>
                <w:sz w:val="20"/>
                <w:szCs w:val="20"/>
                <w:color w:val="auto"/>
              </w:rPr>
            </w:pPr>
            <w:r>
              <w:rPr>
                <w:rFonts w:ascii="Arial" w:cs="Arial" w:eastAsia="Arial" w:hAnsi="Arial"/>
                <w:sz w:val="22"/>
                <w:szCs w:val="22"/>
                <w:color w:val="auto"/>
              </w:rPr>
              <w:t>(discontinued operations)</w:t>
            </w:r>
          </w:p>
        </w:tc>
        <w:tc>
          <w:tcPr>
            <w:tcW w:w="440" w:type="dxa"/>
            <w:vAlign w:val="bottom"/>
            <w:gridSpan w:val="2"/>
            <w:vMerge w:val="continue"/>
            <w:shd w:val="clear" w:color="auto" w:fill="E5FFFF"/>
          </w:tcPr>
          <w:p>
            <w:pPr>
              <w:spacing w:after="0"/>
              <w:rPr>
                <w:sz w:val="21"/>
                <w:szCs w:val="21"/>
                <w:color w:val="auto"/>
              </w:rPr>
            </w:pPr>
          </w:p>
        </w:tc>
        <w:tc>
          <w:tcPr>
            <w:tcW w:w="840" w:type="dxa"/>
            <w:vAlign w:val="bottom"/>
            <w:gridSpan w:val="3"/>
            <w:vMerge w:val="continue"/>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20" w:type="dxa"/>
            <w:vAlign w:val="bottom"/>
            <w:gridSpan w:val="2"/>
            <w:vMerge w:val="continue"/>
            <w:shd w:val="clear" w:color="auto" w:fill="E5FFFF"/>
          </w:tcPr>
          <w:p>
            <w:pPr>
              <w:spacing w:after="0"/>
              <w:rPr>
                <w:sz w:val="21"/>
                <w:szCs w:val="21"/>
                <w:color w:val="auto"/>
              </w:rPr>
            </w:pPr>
          </w:p>
        </w:tc>
        <w:tc>
          <w:tcPr>
            <w:tcW w:w="820" w:type="dxa"/>
            <w:vAlign w:val="bottom"/>
            <w:gridSpan w:val="3"/>
            <w:vMerge w:val="continue"/>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vMerge w:val="continue"/>
            <w:shd w:val="clear" w:color="auto" w:fill="E5FFFF"/>
          </w:tcPr>
          <w:p>
            <w:pPr>
              <w:spacing w:after="0"/>
              <w:rPr>
                <w:sz w:val="21"/>
                <w:szCs w:val="21"/>
                <w:color w:val="auto"/>
              </w:rPr>
            </w:pPr>
          </w:p>
        </w:tc>
        <w:tc>
          <w:tcPr>
            <w:tcW w:w="1240" w:type="dxa"/>
            <w:vAlign w:val="bottom"/>
            <w:gridSpan w:val="4"/>
            <w:vMerge w:val="continue"/>
            <w:shd w:val="clear" w:color="auto" w:fill="E5FFFF"/>
          </w:tcPr>
          <w:p>
            <w:pPr>
              <w:spacing w:after="0"/>
              <w:rPr>
                <w:sz w:val="21"/>
                <w:szCs w:val="21"/>
                <w:color w:val="auto"/>
              </w:rPr>
            </w:pPr>
          </w:p>
        </w:tc>
        <w:tc>
          <w:tcPr>
            <w:tcW w:w="180" w:type="dxa"/>
            <w:vAlign w:val="bottom"/>
            <w:vMerge w:val="continue"/>
            <w:shd w:val="clear" w:color="auto" w:fill="E5FFFF"/>
          </w:tcPr>
          <w:p>
            <w:pPr>
              <w:spacing w:after="0"/>
              <w:rPr>
                <w:sz w:val="21"/>
                <w:szCs w:val="21"/>
                <w:color w:val="auto"/>
              </w:rPr>
            </w:pPr>
          </w:p>
        </w:tc>
        <w:tc>
          <w:tcPr>
            <w:tcW w:w="920" w:type="dxa"/>
            <w:vAlign w:val="bottom"/>
            <w:gridSpan w:val="4"/>
            <w:vMerge w:val="continue"/>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net sales and revenue by product group:</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9"/>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9"/>
          </w:tcPr>
          <w:p>
            <w:pPr>
              <w:jc w:val="right"/>
              <w:ind w:right="400"/>
              <w:spacing w:after="0"/>
              <w:rPr>
                <w:sz w:val="20"/>
                <w:szCs w:val="20"/>
                <w:color w:val="auto"/>
              </w:rPr>
            </w:pPr>
            <w:r>
              <w:rPr>
                <w:rFonts w:ascii="Arial" w:cs="Arial" w:eastAsia="Arial" w:hAnsi="Arial"/>
                <w:sz w:val="22"/>
                <w:szCs w:val="22"/>
                <w:b w:val="1"/>
                <w:bCs w:val="1"/>
                <w:color w:val="auto"/>
                <w:w w:val="89"/>
              </w:rPr>
              <w:t>Nine Months Ended</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Arial" w:cs="Arial" w:eastAsia="Arial" w:hAnsi="Arial"/>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9"/>
          </w:tcPr>
          <w:p>
            <w:pPr>
              <w:ind w:left="400"/>
              <w:spacing w:after="0" w:line="243" w:lineRule="exact"/>
              <w:rPr>
                <w:sz w:val="20"/>
                <w:szCs w:val="20"/>
                <w:color w:val="auto"/>
              </w:rPr>
            </w:pPr>
            <w:r>
              <w:rPr>
                <w:rFonts w:ascii="Arial" w:cs="Arial" w:eastAsia="Arial" w:hAnsi="Arial"/>
                <w:sz w:val="22"/>
                <w:szCs w:val="22"/>
                <w:b w:val="1"/>
                <w:bCs w:val="1"/>
                <w:color w:val="auto"/>
              </w:rPr>
              <w:t>October 31,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ind w:left="100"/>
              <w:spacing w:after="0" w:line="230" w:lineRule="exact"/>
              <w:rPr>
                <w:sz w:val="20"/>
                <w:szCs w:val="20"/>
                <w:color w:val="auto"/>
              </w:rPr>
            </w:pPr>
            <w:r>
              <w:rPr>
                <w:rFonts w:ascii="Arial" w:cs="Arial" w:eastAsia="Arial" w:hAnsi="Arial"/>
                <w:sz w:val="22"/>
                <w:szCs w:val="22"/>
                <w:b w:val="1"/>
                <w:bCs w:val="1"/>
                <w:color w:val="auto"/>
                <w:w w:val="85"/>
              </w:rPr>
              <w:t>2021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13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161,598</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98,850</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w w:val="98"/>
              </w:rPr>
              <w:t>441,657</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191,971</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28,717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20,916</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91,408</w:t>
            </w:r>
          </w:p>
        </w:tc>
        <w:tc>
          <w:tcPr>
            <w:tcW w:w="180" w:type="dxa"/>
            <w:vAlign w:val="bottom"/>
          </w:tcPr>
          <w:p>
            <w:pPr>
              <w:spacing w:after="0"/>
              <w:rPr>
                <w:sz w:val="21"/>
                <w:szCs w:val="21"/>
                <w:color w:val="auto"/>
              </w:rPr>
            </w:pPr>
          </w:p>
        </w:tc>
        <w:tc>
          <w:tcPr>
            <w:tcW w:w="8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45,314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11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11,958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4,661</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27,364</w:t>
            </w:r>
          </w:p>
        </w:tc>
        <w:tc>
          <w:tcPr>
            <w:tcW w:w="180" w:type="dxa"/>
            <w:vAlign w:val="bottom"/>
            <w:shd w:val="clear" w:color="auto" w:fill="E5FFFF"/>
          </w:tcPr>
          <w:p>
            <w:pPr>
              <w:spacing w:after="0"/>
              <w:rPr>
                <w:sz w:val="21"/>
                <w:szCs w:val="21"/>
                <w:color w:val="auto"/>
              </w:rPr>
            </w:pPr>
          </w:p>
        </w:tc>
        <w:tc>
          <w:tcPr>
            <w:tcW w:w="8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9,162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2,930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562</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Arial" w:cs="Arial" w:eastAsia="Arial" w:hAnsi="Arial"/>
                <w:sz w:val="22"/>
                <w:szCs w:val="22"/>
                <w:color w:val="auto"/>
              </w:rPr>
              <w:t>7,157</w:t>
            </w:r>
          </w:p>
        </w:tc>
        <w:tc>
          <w:tcPr>
            <w:tcW w:w="180" w:type="dxa"/>
            <w:vAlign w:val="bottom"/>
          </w:tcPr>
          <w:p>
            <w:pPr>
              <w:spacing w:after="0"/>
              <w:rPr>
                <w:sz w:val="21"/>
                <w:szCs w:val="21"/>
                <w:color w:val="auto"/>
              </w:rPr>
            </w:pPr>
          </w:p>
        </w:tc>
        <w:tc>
          <w:tcPr>
            <w:tcW w:w="84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1,228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11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(2,144)</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(777)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(4,907)</w:t>
            </w:r>
          </w:p>
        </w:tc>
        <w:tc>
          <w:tcPr>
            <w:tcW w:w="180" w:type="dxa"/>
            <w:vAlign w:val="bottom"/>
            <w:shd w:val="clear" w:color="auto" w:fill="E5FFFF"/>
          </w:tcPr>
          <w:p>
            <w:pPr>
              <w:spacing w:after="0"/>
              <w:rPr>
                <w:sz w:val="21"/>
                <w:szCs w:val="21"/>
                <w:color w:val="auto"/>
              </w:rPr>
            </w:pPr>
          </w:p>
        </w:tc>
        <w:tc>
          <w:tcPr>
            <w:tcW w:w="840" w:type="dxa"/>
            <w:vAlign w:val="bottom"/>
            <w:gridSpan w:val="4"/>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(1,075)</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0"/>
                <w:szCs w:val="20"/>
                <w:color w:val="auto"/>
              </w:rPr>
            </w:pPr>
            <w:r>
              <w:rPr>
                <w:rFonts w:ascii="Arial" w:cs="Arial" w:eastAsia="Arial" w:hAnsi="Arial"/>
                <w:sz w:val="22"/>
                <w:szCs w:val="22"/>
                <w:color w:val="auto"/>
              </w:rPr>
              <w:t>Other</w:t>
            </w: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7</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107</w:t>
            </w:r>
          </w:p>
        </w:tc>
        <w:tc>
          <w:tcPr>
            <w:tcW w:w="180" w:type="dxa"/>
            <w:vAlign w:val="bottom"/>
          </w:tcPr>
          <w:p>
            <w:pPr>
              <w:spacing w:after="0"/>
              <w:rPr>
                <w:sz w:val="22"/>
                <w:szCs w:val="22"/>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22"/>
                <w:szCs w:val="22"/>
                <w:color w:val="auto"/>
              </w:rPr>
              <w:t>94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Total, continuing operations</w:t>
            </w:r>
          </w:p>
        </w:tc>
        <w:tc>
          <w:tcPr>
            <w:tcW w:w="112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203,066</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124,217</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w w:val="98"/>
              </w:rPr>
              <w:t>562,786</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Arial" w:cs="Arial" w:eastAsia="Arial" w:hAnsi="Arial"/>
                <w:sz w:val="22"/>
                <w:szCs w:val="22"/>
                <w:color w:val="auto"/>
              </w:rPr>
              <w:t>246,694</w:t>
            </w:r>
          </w:p>
        </w:tc>
        <w:tc>
          <w:tcPr>
            <w:tcW w:w="20" w:type="dxa"/>
            <w:vAlign w:val="bottom"/>
            <w:tcBorders>
              <w:top w:val="single" w:sz="8" w:color="E5FFFF"/>
              <w:bottom w:val="single" w:sz="8" w:color="E5FFFF"/>
            </w:tcBorders>
            <w:shd w:val="clear" w:color="auto" w:fill="E5FFFF"/>
          </w:tcPr>
          <w:p>
            <w:pPr>
              <w:spacing w:after="0"/>
              <w:rPr>
                <w:sz w:val="20"/>
                <w:szCs w:val="20"/>
                <w:color w:val="auto"/>
              </w:rPr>
            </w:pPr>
          </w:p>
        </w:tc>
        <w:tc>
          <w:tcPr>
            <w:tcW w:w="8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22"/>
                <w:szCs w:val="22"/>
                <w:color w:val="auto"/>
              </w:rPr>
              <w:t xml:space="preserve">Refined coal (discontinued operations) </w:t>
            </w:r>
            <w:r>
              <w:rPr>
                <w:rFonts w:ascii="Arial" w:cs="Arial" w:eastAsia="Arial" w:hAnsi="Arial"/>
                <w:sz w:val="35"/>
                <w:szCs w:val="35"/>
                <w:color w:val="auto"/>
                <w:vertAlign w:val="superscript"/>
              </w:rPr>
              <w:t>1</w:t>
            </w: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20" w:type="dxa"/>
            <w:vAlign w:val="bottom"/>
            <w:vMerge w:val="continue"/>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151</w:t>
            </w:r>
          </w:p>
        </w:tc>
        <w:tc>
          <w:tcPr>
            <w:tcW w:w="660" w:type="dxa"/>
            <w:vAlign w:val="bottom"/>
            <w:gridSpan w:val="2"/>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gridSpan w:val="3"/>
          </w:tcPr>
          <w:p>
            <w:pPr>
              <w:jc w:val="right"/>
              <w:spacing w:after="0"/>
              <w:rPr>
                <w:sz w:val="20"/>
                <w:szCs w:val="20"/>
                <w:color w:val="auto"/>
              </w:rPr>
            </w:pPr>
            <w:r>
              <w:rPr>
                <w:rFonts w:ascii="Arial" w:cs="Arial" w:eastAsia="Arial" w:hAnsi="Arial"/>
                <w:sz w:val="22"/>
                <w:szCs w:val="22"/>
                <w:color w:val="auto"/>
              </w:rPr>
              <w:t>34</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4"/>
          </w:tcPr>
          <w:p>
            <w:pPr>
              <w:jc w:val="right"/>
              <w:ind w:right="440"/>
              <w:spacing w:after="0"/>
              <w:rPr>
                <w:sz w:val="20"/>
                <w:szCs w:val="20"/>
                <w:color w:val="auto"/>
              </w:rPr>
            </w:pPr>
            <w:r>
              <w:rPr>
                <w:rFonts w:ascii="Arial" w:cs="Arial" w:eastAsia="Arial" w:hAnsi="Arial"/>
                <w:sz w:val="22"/>
                <w:szCs w:val="22"/>
                <w:color w:val="auto"/>
              </w:rPr>
              <w:t>377</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gridSpan w:val="4"/>
          </w:tcPr>
          <w:p>
            <w:pPr>
              <w:jc w:val="right"/>
              <w:ind w:right="20"/>
              <w:spacing w:after="0"/>
              <w:rPr>
                <w:sz w:val="20"/>
                <w:szCs w:val="20"/>
                <w:color w:val="auto"/>
              </w:rPr>
            </w:pPr>
            <w:r>
              <w:rPr>
                <w:rFonts w:ascii="Arial" w:cs="Arial" w:eastAsia="Arial" w:hAnsi="Arial"/>
                <w:sz w:val="22"/>
                <w:szCs w:val="22"/>
                <w:color w:val="auto"/>
              </w:rPr>
              <w:t>134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40" w:firstLine="656"/>
        <w:spacing w:after="0" w:line="196" w:lineRule="auto"/>
        <w:tabs>
          <w:tab w:leader="none" w:pos="783" w:val="left"/>
        </w:tabs>
        <w:numPr>
          <w:ilvl w:val="0"/>
          <w:numId w:val="8"/>
        </w:numPr>
        <w:rPr>
          <w:rFonts w:ascii="Arial" w:cs="Arial" w:eastAsia="Arial" w:hAnsi="Arial"/>
          <w:sz w:val="34"/>
          <w:szCs w:val="34"/>
          <w:color w:val="auto"/>
          <w:vertAlign w:val="superscript"/>
        </w:rPr>
      </w:pPr>
      <w:r>
        <w:rPr>
          <w:rFonts w:ascii="Arial" w:cs="Arial" w:eastAsia="Arial" w:hAnsi="Arial"/>
          <w:sz w:val="21"/>
          <w:szCs w:val="21"/>
          <w:color w:val="auto"/>
        </w:rPr>
        <w:t>Refined coal sales were recorded net of the cost of coal as the Company purchased the coal feedstock from the customer to which the processed refined coal was sold.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22"/>
          <w:szCs w:val="22"/>
          <w:color w:val="auto"/>
        </w:rPr>
        <w:t>The following table summarizes selected operating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60" w:type="dxa"/>
            <w:vAlign w:val="bottom"/>
            <w:gridSpan w:val="7"/>
          </w:tcPr>
          <w:p>
            <w:pPr>
              <w:ind w:left="80"/>
              <w:spacing w:after="0"/>
              <w:rPr>
                <w:sz w:val="20"/>
                <w:szCs w:val="20"/>
                <w:color w:val="auto"/>
              </w:rPr>
            </w:pPr>
            <w:r>
              <w:rPr>
                <w:rFonts w:ascii="Arial" w:cs="Arial" w:eastAsia="Arial" w:hAnsi="Arial"/>
                <w:sz w:val="22"/>
                <w:szCs w:val="22"/>
                <w:b w:val="1"/>
                <w:bCs w:val="1"/>
                <w:color w:val="auto"/>
              </w:rPr>
              <w:t>Three Months Ended</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40" w:type="dxa"/>
            <w:vAlign w:val="bottom"/>
            <w:gridSpan w:val="6"/>
          </w:tcPr>
          <w:p>
            <w:pPr>
              <w:jc w:val="right"/>
              <w:ind w:right="460"/>
              <w:spacing w:after="0"/>
              <w:rPr>
                <w:sz w:val="20"/>
                <w:szCs w:val="20"/>
                <w:color w:val="auto"/>
              </w:rPr>
            </w:pPr>
            <w:r>
              <w:rPr>
                <w:rFonts w:ascii="Arial" w:cs="Arial" w:eastAsia="Arial" w:hAnsi="Arial"/>
                <w:sz w:val="22"/>
                <w:szCs w:val="22"/>
                <w:b w:val="1"/>
                <w:bCs w:val="1"/>
                <w:color w:val="auto"/>
                <w:w w:val="90"/>
              </w:rPr>
              <w:t>Nine Months Ended</w:t>
            </w:r>
          </w:p>
        </w:tc>
      </w:tr>
      <w:tr>
        <w:trPr>
          <w:trHeight w:val="243"/>
        </w:trPr>
        <w:tc>
          <w:tcPr>
            <w:tcW w:w="5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6"/>
          </w:tcPr>
          <w:p>
            <w:pPr>
              <w:jc w:val="right"/>
              <w:ind w:right="960"/>
              <w:spacing w:after="0" w:line="243" w:lineRule="exact"/>
              <w:rPr>
                <w:sz w:val="20"/>
                <w:szCs w:val="20"/>
                <w:color w:val="auto"/>
              </w:rPr>
            </w:pPr>
            <w:r>
              <w:rPr>
                <w:rFonts w:ascii="Arial" w:cs="Arial" w:eastAsia="Arial" w:hAnsi="Arial"/>
                <w:sz w:val="22"/>
                <w:szCs w:val="22"/>
                <w:b w:val="1"/>
                <w:bCs w:val="1"/>
                <w:color w:val="auto"/>
              </w:rPr>
              <w:t>October 31,</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40" w:type="dxa"/>
            <w:vAlign w:val="bottom"/>
            <w:gridSpan w:val="6"/>
          </w:tcPr>
          <w:p>
            <w:pPr>
              <w:jc w:val="right"/>
              <w:ind w:right="840"/>
              <w:spacing w:after="0" w:line="243" w:lineRule="exact"/>
              <w:rPr>
                <w:sz w:val="20"/>
                <w:szCs w:val="20"/>
                <w:color w:val="auto"/>
              </w:rPr>
            </w:pPr>
            <w:r>
              <w:rPr>
                <w:rFonts w:ascii="Arial" w:cs="Arial" w:eastAsia="Arial" w:hAnsi="Arial"/>
                <w:sz w:val="22"/>
                <w:szCs w:val="22"/>
                <w:b w:val="1"/>
                <w:bCs w:val="1"/>
                <w:color w:val="auto"/>
              </w:rPr>
              <w:t>October 31,</w:t>
            </w:r>
          </w:p>
        </w:tc>
      </w:tr>
      <w:tr>
        <w:trPr>
          <w:trHeight w:val="230"/>
        </w:trPr>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2"/>
          </w:tcPr>
          <w:p>
            <w:pPr>
              <w:ind w:left="100"/>
              <w:spacing w:after="0" w:line="230" w:lineRule="exact"/>
              <w:rPr>
                <w:sz w:val="20"/>
                <w:szCs w:val="20"/>
                <w:color w:val="auto"/>
              </w:rPr>
            </w:pPr>
            <w:r>
              <w:rPr>
                <w:rFonts w:ascii="Arial" w:cs="Arial" w:eastAsia="Arial" w:hAnsi="Arial"/>
                <w:sz w:val="22"/>
                <w:szCs w:val="22"/>
                <w:b w:val="1"/>
                <w:bCs w:val="1"/>
                <w:color w:val="auto"/>
                <w:w w:val="81"/>
              </w:rPr>
              <w:t>2021</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rPr>
              <w:t>2020</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8"/>
              </w:rPr>
              <w:t>2021</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spacing w:after="0" w:line="230" w:lineRule="exact"/>
              <w:rPr>
                <w:sz w:val="20"/>
                <w:szCs w:val="20"/>
                <w:color w:val="auto"/>
              </w:rPr>
            </w:pPr>
            <w:r>
              <w:rPr>
                <w:rFonts w:ascii="Arial" w:cs="Arial" w:eastAsia="Arial" w:hAnsi="Arial"/>
                <w:sz w:val="22"/>
                <w:szCs w:val="22"/>
                <w:b w:val="1"/>
                <w:bCs w:val="1"/>
                <w:color w:val="auto"/>
                <w:w w:val="98"/>
              </w:rPr>
              <w:t>2020</w:t>
            </w:r>
          </w:p>
        </w:tc>
        <w:tc>
          <w:tcPr>
            <w:tcW w:w="420" w:type="dxa"/>
            <w:vAlign w:val="bottom"/>
          </w:tcPr>
          <w:p>
            <w:pPr>
              <w:spacing w:after="0"/>
              <w:rPr>
                <w:sz w:val="19"/>
                <w:szCs w:val="19"/>
                <w:color w:val="auto"/>
              </w:rPr>
            </w:pPr>
          </w:p>
        </w:tc>
      </w:tr>
      <w:tr>
        <w:trPr>
          <w:trHeight w:val="263"/>
        </w:trPr>
        <w:tc>
          <w:tcPr>
            <w:tcW w:w="5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r>
      <w:tr>
        <w:trPr>
          <w:trHeight w:val="243"/>
        </w:trPr>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4"/>
              </w:rPr>
              <w:t>Average selling price per gallon of ethanol (net of hedging)</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2.31</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1.31</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2.12</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1.28</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440" w:type="dxa"/>
            <w:vAlign w:val="bottom"/>
          </w:tcPr>
          <w:p>
            <w:pPr>
              <w:spacing w:after="0"/>
              <w:rPr>
                <w:sz w:val="21"/>
                <w:szCs w:val="21"/>
                <w:color w:val="auto"/>
              </w:rPr>
            </w:pPr>
          </w:p>
        </w:tc>
        <w:tc>
          <w:tcPr>
            <w:tcW w:w="108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69.0</w:t>
            </w:r>
          </w:p>
        </w:tc>
        <w:tc>
          <w:tcPr>
            <w:tcW w:w="420" w:type="dxa"/>
            <w:vAlign w:val="bottom"/>
          </w:tcPr>
          <w:p>
            <w:pPr>
              <w:spacing w:after="0"/>
              <w:rPr>
                <w:sz w:val="21"/>
                <w:szCs w:val="21"/>
                <w:color w:val="auto"/>
              </w:rPr>
            </w:pPr>
          </w:p>
        </w:tc>
        <w:tc>
          <w:tcPr>
            <w:tcW w:w="106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74.6</w:t>
            </w:r>
          </w:p>
        </w:tc>
        <w:tc>
          <w:tcPr>
            <w:tcW w:w="440" w:type="dxa"/>
            <w:vAlign w:val="bottom"/>
          </w:tcPr>
          <w:p>
            <w:pPr>
              <w:spacing w:after="0"/>
              <w:rPr>
                <w:sz w:val="21"/>
                <w:szCs w:val="21"/>
                <w:color w:val="auto"/>
              </w:rPr>
            </w:pPr>
          </w:p>
        </w:tc>
        <w:tc>
          <w:tcPr>
            <w:tcW w:w="1060" w:type="dxa"/>
            <w:vAlign w:val="bottom"/>
            <w:gridSpan w:val="3"/>
          </w:tcPr>
          <w:p>
            <w:pPr>
              <w:jc w:val="right"/>
              <w:ind w:right="260"/>
              <w:spacing w:after="0" w:line="243" w:lineRule="exact"/>
              <w:rPr>
                <w:sz w:val="20"/>
                <w:szCs w:val="20"/>
                <w:color w:val="auto"/>
              </w:rPr>
            </w:pPr>
            <w:r>
              <w:rPr>
                <w:rFonts w:ascii="Arial" w:cs="Arial" w:eastAsia="Arial" w:hAnsi="Arial"/>
                <w:sz w:val="22"/>
                <w:szCs w:val="22"/>
                <w:color w:val="auto"/>
              </w:rPr>
              <w:t>207.9</w:t>
            </w:r>
          </w:p>
        </w:tc>
        <w:tc>
          <w:tcPr>
            <w:tcW w:w="420" w:type="dxa"/>
            <w:vAlign w:val="bottom"/>
          </w:tcPr>
          <w:p>
            <w:pPr>
              <w:spacing w:after="0"/>
              <w:rPr>
                <w:sz w:val="21"/>
                <w:szCs w:val="21"/>
                <w:color w:val="auto"/>
              </w:rPr>
            </w:pPr>
          </w:p>
        </w:tc>
        <w:tc>
          <w:tcPr>
            <w:tcW w:w="92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149.4</w:t>
            </w:r>
          </w:p>
        </w:tc>
      </w:tr>
      <w:tr>
        <w:trPr>
          <w:trHeight w:val="243"/>
        </w:trPr>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184.85</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129.38</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200.02</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136.49</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440" w:type="dxa"/>
            <w:vAlign w:val="bottom"/>
          </w:tcPr>
          <w:p>
            <w:pPr>
              <w:spacing w:after="0"/>
              <w:rPr>
                <w:sz w:val="21"/>
                <w:szCs w:val="21"/>
                <w:color w:val="auto"/>
              </w:rPr>
            </w:pPr>
          </w:p>
        </w:tc>
        <w:tc>
          <w:tcPr>
            <w:tcW w:w="108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155,356</w:t>
            </w:r>
          </w:p>
        </w:tc>
        <w:tc>
          <w:tcPr>
            <w:tcW w:w="420" w:type="dxa"/>
            <w:vAlign w:val="bottom"/>
          </w:tcPr>
          <w:p>
            <w:pPr>
              <w:spacing w:after="0"/>
              <w:rPr>
                <w:sz w:val="21"/>
                <w:szCs w:val="21"/>
                <w:color w:val="auto"/>
              </w:rPr>
            </w:pPr>
          </w:p>
        </w:tc>
        <w:tc>
          <w:tcPr>
            <w:tcW w:w="106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161,666</w:t>
            </w:r>
          </w:p>
        </w:tc>
        <w:tc>
          <w:tcPr>
            <w:tcW w:w="440" w:type="dxa"/>
            <w:vAlign w:val="bottom"/>
          </w:tcPr>
          <w:p>
            <w:pPr>
              <w:spacing w:after="0"/>
              <w:rPr>
                <w:sz w:val="21"/>
                <w:szCs w:val="21"/>
                <w:color w:val="auto"/>
              </w:rPr>
            </w:pPr>
          </w:p>
        </w:tc>
        <w:tc>
          <w:tcPr>
            <w:tcW w:w="1060" w:type="dxa"/>
            <w:vAlign w:val="bottom"/>
            <w:gridSpan w:val="3"/>
          </w:tcPr>
          <w:p>
            <w:pPr>
              <w:jc w:val="right"/>
              <w:ind w:right="260"/>
              <w:spacing w:after="0" w:line="243" w:lineRule="exact"/>
              <w:rPr>
                <w:sz w:val="20"/>
                <w:szCs w:val="20"/>
                <w:color w:val="auto"/>
              </w:rPr>
            </w:pPr>
            <w:r>
              <w:rPr>
                <w:rFonts w:ascii="Arial" w:cs="Arial" w:eastAsia="Arial" w:hAnsi="Arial"/>
                <w:sz w:val="22"/>
                <w:szCs w:val="22"/>
                <w:color w:val="auto"/>
                <w:w w:val="98"/>
              </w:rPr>
              <w:t>456,996</w:t>
            </w:r>
          </w:p>
        </w:tc>
        <w:tc>
          <w:tcPr>
            <w:tcW w:w="420" w:type="dxa"/>
            <w:vAlign w:val="bottom"/>
          </w:tcPr>
          <w:p>
            <w:pPr>
              <w:spacing w:after="0"/>
              <w:rPr>
                <w:sz w:val="21"/>
                <w:szCs w:val="21"/>
                <w:color w:val="auto"/>
              </w:rPr>
            </w:pPr>
          </w:p>
        </w:tc>
        <w:tc>
          <w:tcPr>
            <w:tcW w:w="92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331,990</w:t>
            </w:r>
          </w:p>
        </w:tc>
      </w:tr>
      <w:tr>
        <w:trPr>
          <w:trHeight w:val="243"/>
        </w:trPr>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5"/>
              </w:rPr>
              <w:t>Average selling price per pound of non-food grade corn oil</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0.59</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0.24</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0.47</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0.25</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440" w:type="dxa"/>
            <w:vAlign w:val="bottom"/>
          </w:tcPr>
          <w:p>
            <w:pPr>
              <w:spacing w:after="0"/>
              <w:rPr>
                <w:sz w:val="21"/>
                <w:szCs w:val="21"/>
                <w:color w:val="auto"/>
              </w:rPr>
            </w:pPr>
          </w:p>
        </w:tc>
        <w:tc>
          <w:tcPr>
            <w:tcW w:w="108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20.2</w:t>
            </w:r>
          </w:p>
        </w:tc>
        <w:tc>
          <w:tcPr>
            <w:tcW w:w="420" w:type="dxa"/>
            <w:vAlign w:val="bottom"/>
          </w:tcPr>
          <w:p>
            <w:pPr>
              <w:spacing w:after="0"/>
              <w:rPr>
                <w:sz w:val="21"/>
                <w:szCs w:val="21"/>
                <w:color w:val="auto"/>
              </w:rPr>
            </w:pPr>
          </w:p>
        </w:tc>
        <w:tc>
          <w:tcPr>
            <w:tcW w:w="106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19.0</w:t>
            </w:r>
          </w:p>
        </w:tc>
        <w:tc>
          <w:tcPr>
            <w:tcW w:w="440" w:type="dxa"/>
            <w:vAlign w:val="bottom"/>
          </w:tcPr>
          <w:p>
            <w:pPr>
              <w:spacing w:after="0"/>
              <w:rPr>
                <w:sz w:val="21"/>
                <w:szCs w:val="21"/>
                <w:color w:val="auto"/>
              </w:rPr>
            </w:pPr>
          </w:p>
        </w:tc>
        <w:tc>
          <w:tcPr>
            <w:tcW w:w="1060" w:type="dxa"/>
            <w:vAlign w:val="bottom"/>
            <w:gridSpan w:val="3"/>
          </w:tcPr>
          <w:p>
            <w:pPr>
              <w:jc w:val="right"/>
              <w:ind w:right="260"/>
              <w:spacing w:after="0" w:line="243" w:lineRule="exact"/>
              <w:rPr>
                <w:sz w:val="20"/>
                <w:szCs w:val="20"/>
                <w:color w:val="auto"/>
              </w:rPr>
            </w:pPr>
            <w:r>
              <w:rPr>
                <w:rFonts w:ascii="Arial" w:cs="Arial" w:eastAsia="Arial" w:hAnsi="Arial"/>
                <w:sz w:val="22"/>
                <w:szCs w:val="22"/>
                <w:color w:val="auto"/>
              </w:rPr>
              <w:t>57.9</w:t>
            </w:r>
          </w:p>
        </w:tc>
        <w:tc>
          <w:tcPr>
            <w:tcW w:w="420" w:type="dxa"/>
            <w:vAlign w:val="bottom"/>
          </w:tcPr>
          <w:p>
            <w:pPr>
              <w:spacing w:after="0"/>
              <w:rPr>
                <w:sz w:val="21"/>
                <w:szCs w:val="21"/>
                <w:color w:val="auto"/>
              </w:rPr>
            </w:pPr>
          </w:p>
        </w:tc>
        <w:tc>
          <w:tcPr>
            <w:tcW w:w="92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37.2</w:t>
            </w:r>
          </w:p>
        </w:tc>
      </w:tr>
      <w:tr>
        <w:trPr>
          <w:trHeight w:val="243"/>
        </w:trPr>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8"/>
              </w:rPr>
              <w:t>Average selling price per ton of modified distillers grains</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92.10</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56.68</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83.97</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52.44</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440" w:type="dxa"/>
            <w:vAlign w:val="bottom"/>
          </w:tcPr>
          <w:p>
            <w:pPr>
              <w:spacing w:after="0"/>
              <w:rPr>
                <w:sz w:val="21"/>
                <w:szCs w:val="21"/>
                <w:color w:val="auto"/>
              </w:rPr>
            </w:pPr>
          </w:p>
        </w:tc>
        <w:tc>
          <w:tcPr>
            <w:tcW w:w="108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31,814</w:t>
            </w:r>
          </w:p>
        </w:tc>
        <w:tc>
          <w:tcPr>
            <w:tcW w:w="420" w:type="dxa"/>
            <w:vAlign w:val="bottom"/>
          </w:tcPr>
          <w:p>
            <w:pPr>
              <w:spacing w:after="0"/>
              <w:rPr>
                <w:sz w:val="21"/>
                <w:szCs w:val="21"/>
                <w:color w:val="auto"/>
              </w:rPr>
            </w:pPr>
          </w:p>
        </w:tc>
        <w:tc>
          <w:tcPr>
            <w:tcW w:w="1060" w:type="dxa"/>
            <w:vAlign w:val="bottom"/>
            <w:gridSpan w:val="3"/>
          </w:tcPr>
          <w:p>
            <w:pPr>
              <w:jc w:val="right"/>
              <w:ind w:right="240"/>
              <w:spacing w:after="0" w:line="243" w:lineRule="exact"/>
              <w:rPr>
                <w:sz w:val="20"/>
                <w:szCs w:val="20"/>
                <w:color w:val="auto"/>
              </w:rPr>
            </w:pPr>
            <w:r>
              <w:rPr>
                <w:rFonts w:ascii="Arial" w:cs="Arial" w:eastAsia="Arial" w:hAnsi="Arial"/>
                <w:sz w:val="22"/>
                <w:szCs w:val="22"/>
                <w:color w:val="auto"/>
              </w:rPr>
              <w:t>9,924</w:t>
            </w:r>
          </w:p>
        </w:tc>
        <w:tc>
          <w:tcPr>
            <w:tcW w:w="440" w:type="dxa"/>
            <w:vAlign w:val="bottom"/>
          </w:tcPr>
          <w:p>
            <w:pPr>
              <w:spacing w:after="0"/>
              <w:rPr>
                <w:sz w:val="21"/>
                <w:szCs w:val="21"/>
                <w:color w:val="auto"/>
              </w:rPr>
            </w:pPr>
          </w:p>
        </w:tc>
        <w:tc>
          <w:tcPr>
            <w:tcW w:w="1060" w:type="dxa"/>
            <w:vAlign w:val="bottom"/>
            <w:gridSpan w:val="3"/>
          </w:tcPr>
          <w:p>
            <w:pPr>
              <w:jc w:val="right"/>
              <w:ind w:right="260"/>
              <w:spacing w:after="0" w:line="243" w:lineRule="exact"/>
              <w:rPr>
                <w:sz w:val="20"/>
                <w:szCs w:val="20"/>
                <w:color w:val="auto"/>
              </w:rPr>
            </w:pPr>
            <w:r>
              <w:rPr>
                <w:rFonts w:ascii="Arial" w:cs="Arial" w:eastAsia="Arial" w:hAnsi="Arial"/>
                <w:sz w:val="22"/>
                <w:szCs w:val="22"/>
                <w:color w:val="auto"/>
              </w:rPr>
              <w:t>85,235</w:t>
            </w:r>
          </w:p>
        </w:tc>
        <w:tc>
          <w:tcPr>
            <w:tcW w:w="420" w:type="dxa"/>
            <w:vAlign w:val="bottom"/>
          </w:tcPr>
          <w:p>
            <w:pPr>
              <w:spacing w:after="0"/>
              <w:rPr>
                <w:sz w:val="21"/>
                <w:szCs w:val="21"/>
                <w:color w:val="auto"/>
              </w:rPr>
            </w:pPr>
          </w:p>
        </w:tc>
        <w:tc>
          <w:tcPr>
            <w:tcW w:w="920" w:type="dxa"/>
            <w:vAlign w:val="bottom"/>
            <w:gridSpan w:val="3"/>
          </w:tcPr>
          <w:p>
            <w:pPr>
              <w:jc w:val="right"/>
              <w:ind w:right="100"/>
              <w:spacing w:after="0" w:line="243" w:lineRule="exact"/>
              <w:rPr>
                <w:sz w:val="20"/>
                <w:szCs w:val="20"/>
                <w:color w:val="auto"/>
              </w:rPr>
            </w:pPr>
            <w:r>
              <w:rPr>
                <w:rFonts w:ascii="Arial" w:cs="Arial" w:eastAsia="Arial" w:hAnsi="Arial"/>
                <w:sz w:val="22"/>
                <w:szCs w:val="22"/>
                <w:color w:val="auto"/>
              </w:rPr>
              <w:t>23,431</w:t>
            </w:r>
          </w:p>
        </w:tc>
      </w:tr>
      <w:tr>
        <w:trPr>
          <w:trHeight w:val="243"/>
        </w:trPr>
        <w:tc>
          <w:tcPr>
            <w:tcW w:w="5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6.45</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3.28</w:t>
            </w:r>
          </w:p>
        </w:tc>
        <w:tc>
          <w:tcPr>
            <w:tcW w:w="4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6.05</w:t>
            </w:r>
          </w:p>
        </w:tc>
        <w:tc>
          <w:tcPr>
            <w:tcW w:w="4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3.57</w:t>
            </w:r>
          </w:p>
        </w:tc>
      </w:tr>
      <w:tr>
        <w:trPr>
          <w:trHeight w:val="274"/>
        </w:trPr>
        <w:tc>
          <w:tcPr>
            <w:tcW w:w="540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22"/>
                <w:szCs w:val="22"/>
                <w:color w:val="auto"/>
              </w:rPr>
              <w:t>4.58</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22"/>
                <w:szCs w:val="22"/>
                <w:color w:val="auto"/>
              </w:rPr>
              <w:t>2.09</w:t>
            </w:r>
          </w:p>
        </w:tc>
        <w:tc>
          <w:tcPr>
            <w:tcW w:w="44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22"/>
                <w:szCs w:val="22"/>
                <w:color w:val="auto"/>
              </w:rPr>
              <w:t>3.69</w:t>
            </w:r>
          </w:p>
        </w:tc>
        <w:tc>
          <w:tcPr>
            <w:tcW w:w="42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22"/>
                <w:szCs w:val="22"/>
                <w:color w:val="auto"/>
              </w:rPr>
              <w:t>2.87</w:t>
            </w:r>
          </w:p>
        </w:tc>
      </w:tr>
    </w:tbl>
    <w:p>
      <w:pPr>
        <w:spacing w:after="0" w:line="190"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Net sales and revenue in the quarter ended October 31, 2021 increased approximately 63% compared to the prior year’s third quarter. Net sales and revenue in the first nine months of fiscal year 2021 increased approximately 128%. We had significantly lower production and sales volumes in our ethanol and by-products business during the first nine months of fiscal year 2020, as diminished local availability of corn at the NuGen facility, the effects of the COVID-19 outbreak and lower ethanol pricing resulted in the idling of the NuGen and One Earth ethanol plants in March of 2020. We resumed production operations at One Earth in late May of 2020 and at NuGen in late June of 2020. Both of our consolidated plants produced at or near capacity during the first nine months of fiscal year 2021. In addition, stronger commodity pricing in the third quarter of 2021 compared to 2020 was the primary contributor to an increase in sales between the three month periods and an incremental contributor to the increase in sales between the nine month periods.</w:t>
      </w:r>
    </w:p>
    <w:p>
      <w:pPr>
        <w:spacing w:after="0" w:line="185"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Ethanol sales increased in the third quarter of fiscal year 2021 compared to the third quarter of fiscal year 2020 as the average price per gallon sold increased 76%, offset slightly by an 8% decrease in gallons sold. Ethanol sales increased in the first nine months of fiscal year 2021 compared to the first nine months of fiscal year 2020 as the number of gallons sold increased 39% and the average selling price per gallon increased 66% over the prior fiscal year. The increase in the ethanol selling price resulted primarily from an increase in demand and an increase in commodity prices.</w:t>
      </w:r>
    </w:p>
    <w:p>
      <w:pPr>
        <w:spacing w:after="0" w:line="174"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Dried distillers grains sales increased in the third quarter of fiscal year 2021 compared to the third quarter of fiscal year 2020 as the average price per ton sold increased 43%, offset slightly by a 4% decrease in tons sold. Dried distillers grains sales increased in the first nine months of fiscal year 2021 compared to the first nine months of fiscal year 2020 as the number of tons sold increased 38% and the average selling price per ton increased 47% over the prior fiscal year. The increase in the dried distillers grains selling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 w:name="page33"/>
    <w:bookmarkEnd w:id="32"/>
    <w:p>
      <w:pPr>
        <w:ind w:right="80"/>
        <w:spacing w:after="0" w:line="250" w:lineRule="auto"/>
        <w:rPr>
          <w:sz w:val="20"/>
          <w:szCs w:val="20"/>
          <w:color w:val="auto"/>
        </w:rPr>
      </w:pPr>
      <w:r>
        <w:rPr>
          <w:rFonts w:ascii="Arial" w:cs="Arial" w:eastAsia="Arial" w:hAnsi="Arial"/>
          <w:sz w:val="22"/>
          <w:szCs w:val="22"/>
          <w:color w:val="auto"/>
        </w:rPr>
        <w:t>price resulted primarily from increased demand and an increase in corn prices as dried distillers grains prices often correlate with corn pricing.</w:t>
      </w:r>
    </w:p>
    <w:p>
      <w:pPr>
        <w:spacing w:after="0" w:line="202"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Non-food grade corn oil sales increased in the third quarter of fiscal year 2021 compared to the third quarter of fiscal year 2020 as the number of pounds sold increased 6% and the average selling price per pound increased 146% over the prior year third quarter. Non-food grade corn oil sales increased in the first nine months of fiscal year 2021 compared to the first nine months of fiscal year 2020 as the number of pounds sold increased 56% and the average selling price per pound increased 88% over the prior year fiscal year. The increase in the non-food grade corn oil selling price resulted primarily from an increase in demand from the biodiesel industry.</w:t>
      </w:r>
    </w:p>
    <w:p>
      <w:pPr>
        <w:spacing w:after="0" w:line="215" w:lineRule="exact"/>
        <w:rPr>
          <w:sz w:val="20"/>
          <w:szCs w:val="20"/>
          <w:color w:val="auto"/>
        </w:rPr>
      </w:pPr>
    </w:p>
    <w:p>
      <w:pPr>
        <w:ind w:right="240" w:firstLine="648"/>
        <w:spacing w:after="0" w:line="248" w:lineRule="auto"/>
        <w:rPr>
          <w:sz w:val="20"/>
          <w:szCs w:val="20"/>
          <w:color w:val="auto"/>
        </w:rPr>
      </w:pPr>
      <w:r>
        <w:rPr>
          <w:rFonts w:ascii="Arial" w:cs="Arial" w:eastAsia="Arial" w:hAnsi="Arial"/>
          <w:sz w:val="21"/>
          <w:szCs w:val="21"/>
          <w:color w:val="auto"/>
        </w:rPr>
        <w:t>Modified distillers grains sales increased in the third quarter of fiscal year 2021 compared to the third quarter of fiscal year 2020 as the number of tons sold increased 221% and the average selling price per ton increased 62% over the prior year third quarter. Modified distillers grains sales increased in the first nine months of fiscal year 2021 compared to the first nine months of fiscal year 2020 as the number of tons sold increased 264% and the average selling price per ton increased 60% over the prior year fiscal year. The increase in the modified distillers grains selling price resulted primarily from an increase in corn prices and increased local demand.</w:t>
      </w:r>
    </w:p>
    <w:p>
      <w:pPr>
        <w:spacing w:after="0" w:line="204"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Losses on derivative financial instruments, included in net sales and revenue, of approximately $2.1 million in the third quarter of fiscal year 2021 related to our risk management activities and were impacted by the increase in ethanol prices during that quarter. There were losses on derivative financial instruments of approximately $0.8 million during the third quarter of fiscal year 2020. Losses on derivative financial instruments, included in net sales and revenue, were approximately $4.9 million in the first nine months of fiscal year 2021 compared to $1.1 million in the first nine months of fiscal year 2020.</w:t>
      </w:r>
    </w:p>
    <w:p>
      <w:pPr>
        <w:spacing w:after="0" w:line="174"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Gross profit for the third quarter of fiscal year 2021 increased approximately $6.2 million compared to the prior year’s third quarter. This was primarily caused by significantly increased commodity prices during the third quarter of fiscal year 2021 compared to the reduced levels during the third quarter of fiscal year 2020 discussed above. The crush spread for the third quarter of fiscal year 2021 was $0.11 per gallon of ethanol sold compared to $0.19 per gallon of ethanol sold during the third quarter of fiscal year 2020. The selling price per gallon of ethanol sold increased 76% for the third quarter of fiscal year 2021 compared to the third quarter of fiscal year 2020. There was a 97% increase in the cost per bushel of corn during the same periods. During the third quarter of fiscal year 2020 the impact from the COVID-19 outbreak and lower gasoline pricing resulted in lower ethanol and corn pricing which severely impacted operations.</w:t>
      </w:r>
    </w:p>
    <w:p>
      <w:pPr>
        <w:spacing w:after="0" w:line="207" w:lineRule="exact"/>
        <w:rPr>
          <w:sz w:val="20"/>
          <w:szCs w:val="20"/>
          <w:color w:val="auto"/>
        </w:rPr>
      </w:pPr>
    </w:p>
    <w:p>
      <w:pPr>
        <w:ind w:right="200" w:firstLine="648"/>
        <w:spacing w:after="0" w:line="235" w:lineRule="auto"/>
        <w:rPr>
          <w:sz w:val="20"/>
          <w:szCs w:val="20"/>
          <w:color w:val="auto"/>
        </w:rPr>
      </w:pPr>
      <w:r>
        <w:rPr>
          <w:rFonts w:ascii="Arial" w:cs="Arial" w:eastAsia="Arial" w:hAnsi="Arial"/>
          <w:sz w:val="22"/>
          <w:szCs w:val="22"/>
          <w:color w:val="auto"/>
        </w:rPr>
        <w:t>Grain accounted for approximately 84% ($148.7 million) of our cost of sales during the third quarter of fiscal year 2021 compared to approximately 79% ($83.4 million) during the third quarter of fiscal year 2020. Natural gas accounted for approximately 5% ($8.1 million) of our cost of sales during the third quarter of fiscal year 2021 compared to approximately 4% ($4.0 million) during the third quarter of fiscal year 2020. The grain and natural gas expenditure increases were primarily attributable to the higher costs of both corn and natural gas with stable production levels in the third quarter of fiscal year 2021 compared to the third quarter of fiscal year 2020.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3" w:name="page34"/>
    <w:bookmarkEnd w:id="33"/>
    <w:p>
      <w:pPr>
        <w:ind w:firstLine="648"/>
        <w:spacing w:after="0" w:line="273" w:lineRule="auto"/>
        <w:rPr>
          <w:sz w:val="20"/>
          <w:szCs w:val="20"/>
          <w:color w:val="auto"/>
        </w:rPr>
      </w:pPr>
      <w:r>
        <w:rPr>
          <w:rFonts w:ascii="Arial" w:cs="Arial" w:eastAsia="Arial" w:hAnsi="Arial"/>
          <w:sz w:val="19"/>
          <w:szCs w:val="19"/>
          <w:color w:val="auto"/>
        </w:rPr>
        <w:t>Gross profit for the first nine months of fiscal year 2021 increased approximately $47.5 million compared to the first nine months of the prior year. This was primarily the result of significantly higher production and sales volumes during the first nine months of fiscal year 2021 compared to the reduced levels during the first nine months of fiscal year 2020 discussed above. The crush spread for the first nine months of fiscal year 2021 was approximately $0.06 per gallon of ethanol sold compared to $0.05 per gallon of ethanol sold during the first nine months of fiscal year 2020. The selling price per gallon of ethanol sold increased 66% for the first nine months of fiscal year 2021 compared to the first nine months of fiscal year 2020, slightly below the 69% increase in the cost per bushel of corn during the same periods. In addition, the higher sales volumes discussed above and the higher prices of by-products contributed to the increase in gross profit during the first nine months of fiscal year 2021 compared to the first nine months of fiscal year 2020. During the first nine months of fiscal year 2020, the impact from the COVID-19 outbreak and lower gasoline pricing resulted in lower ethanol and corn prices, which severely impacted operations and resulted in the consolidated ethanol plants being idled for a portion of the year and the lower gross profit.</w:t>
      </w:r>
    </w:p>
    <w:p>
      <w:pPr>
        <w:spacing w:after="0" w:line="182"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Grain accounted for approximately 85% ($427.0 million) of our cost of sales during the first nine months of fiscal year 2021 compared to approximately 76% ($178.3 million) during the first nine months of fiscal year 2020. Natural gas accounted for approximately 4% ($18.0 million) of our cost of sales during the first nine months of fiscal year 2021 compared to approximately 5% ($11.3 million) during the first nine months of fiscal year 2020. The grain increase was primarily attributable to the higher production levels in the first nine months of fiscal year 2021 compared to the reduced production levels in the first nine months of fiscal year 2020 and the significant rise in corn prices during the first nine months of fiscal year 2021. The natural gas unit price increase was offset by gains realized on the sales of unused natural gas during the first quarter of fiscal year 2021. The sales were a result of unusual and significant increases in the spot price of natural gas during portions of the first quarter of fiscal year 2021 which resulted in an opportunity for us to sell forward natural gas purchases at a gain.</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SG&amp;A expenses were approximately $6.3 million for the third quarter of fiscal year 2021, significantly higher than the approximately $4.3 million of expenses for the third quarter of fiscal year 2020. SG&amp;A expenses were approximately $22.4 million for the first nine months of fiscal year 2021, significantly higher than the approximately $13.4 million of expenses for the first nine months of fiscal year 2020. A majority of the increase results from higher shipping costs as more sales contracts provided for shipping to be paid by us in the first nine months of fiscal year 2021 compared to the first nine months of fiscal year 2020. In addition, there was an increase in incentive compensation associated with higher profitability in fiscal year 2021.</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4" w:name="page35"/>
    <w:bookmarkEnd w:id="34"/>
    <w:p>
      <w:pPr>
        <w:ind w:right="40" w:firstLine="648"/>
        <w:spacing w:after="0" w:line="246" w:lineRule="auto"/>
        <w:rPr>
          <w:sz w:val="20"/>
          <w:szCs w:val="20"/>
          <w:color w:val="auto"/>
        </w:rPr>
      </w:pPr>
      <w:r>
        <w:rPr>
          <w:rFonts w:ascii="Arial" w:cs="Arial" w:eastAsia="Arial" w:hAnsi="Arial"/>
          <w:sz w:val="21"/>
          <w:szCs w:val="21"/>
          <w:color w:val="auto"/>
        </w:rPr>
        <w:t>During the third quarter of fiscal year 2021, we recognized income of approximately $0.3 million compared to income of approximately $1.2 million for the third quarter of fiscal year 2020, from our equity investment in Big River. We recognized income of approximately $2.8 million during the first nine months of fiscal year 2021 compared to income of approximately $0.2 million during the first nine months of fiscal year 2020. Big River has interests in four ethanol production plants that shipped approximately 415 million gallons in the trailing twelve months ended October 31, 2021 and has an effective ownership of ethanol gallons shipped for the same period of approximately 359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Interest and other income was approximately $35,000 for the third quarter of fiscal year 2021 versus approximately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$537,000 for the third quarter of fiscal year 2020. Interest and other income was approximately $117,000 for the first nine months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fiscal year 2021 versus approximately $1.4 million for the first nine months of fiscal year 2020. Interest income decreased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yields on our excess cash decreased in the first nine months of fiscal year 2021 compared to the first nine months of fiscal year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15"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As a result of the foregoing, income before income taxes was approximately $19.2 million for the third quarter of fiscal year 2021 versus approximately $16.3 million for the third quarter of fiscal year 2020. Income before income taxes was approximately $39.2 million versus a loss of approximately $0.6 million for the first nine months of fiscal years 2021 and 2020, respectively.</w:t>
      </w:r>
    </w:p>
    <w:p>
      <w:pPr>
        <w:spacing w:after="0" w:line="212"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Prior to the third quarter of fiscal year 2021, 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nine months ended October 31, 2020. Beginning on November 18, 2021, we are unable to earn tax credit related to the refined coal business, and as such, have ceased operation of that business. As earning these credits is what had caused the significant changes in the estimated annual effective tax rate from small changes in estimated “ordinary” income and we have now classified the refined coal business as discontinued operations, we have returned to using the annual effective tax rate method to calculate the provision or benefit for income taxes from continuing operations beginning in the three and nine month periods ending October 31, 2021. Our income tax provision from continuing operations was approximately $4.3 million and approximately $5.0 million for the three months ended October 31, 2021 and 2020, respectively, and was approximately $8.3 million and a benefit of approximately $0.4 million for the nine months ended October 31, 2021 and 2020, respectively. We had a slight benefit in the prior year nine month period based upon pre-tax losses from continuing operations for that period versus pre-tax income from continuing operations in the current period. Our income tax provision for the third quarter of fiscal year 2020 includes a provision of approximately $1.8 million related to reversing previously recognized tax benefits associated with the lengthening of a net operating loss carryback allowed by the CARES Act as the Company no longer had a year to date estimated taxable loss.</w:t>
      </w:r>
    </w:p>
    <w:p>
      <w:pPr>
        <w:spacing w:after="0" w:line="187"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As a result of the foregoing, net income from continuing operations was approximately $14.9 million for the third quarter of fiscal year 2021 compared to approximately $11.3 million for the third quarter of fiscal year 2020. Net income from continuing operations was approximately $30.9 million for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5" w:name="page36"/>
    <w:bookmarkEnd w:id="35"/>
    <w:p>
      <w:pPr>
        <w:ind w:right="380"/>
        <w:spacing w:after="0" w:line="250" w:lineRule="auto"/>
        <w:rPr>
          <w:sz w:val="20"/>
          <w:szCs w:val="20"/>
          <w:color w:val="auto"/>
        </w:rPr>
      </w:pPr>
      <w:r>
        <w:rPr>
          <w:rFonts w:ascii="Arial" w:cs="Arial" w:eastAsia="Arial" w:hAnsi="Arial"/>
          <w:sz w:val="22"/>
          <w:szCs w:val="22"/>
          <w:color w:val="auto"/>
        </w:rPr>
        <w:t>the first nine months of fiscal year 2021 compared to net loss of approximately $0.1 million for the first nine months of fiscal year 2020.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Income from continuing operations related to noncontrolling interests was approximately $1.6 million for the third quarter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of fiscal year 2021 compared to $2.3 million for the third quarter of fiscal years 2020. Income from continuing operations related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noncontrolling interests was approximately $4.6 million for the nine months of fiscal year 2021 compared to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$1.3 million for the first nine months of fiscal years 2020. These amounts represent the other owners’ share of the income or loss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NuGen and One Earth. Noncontrolling interests related to the refined coal entity is included in discontinued operations.</w:t>
      </w:r>
    </w:p>
    <w:p>
      <w:pPr>
        <w:spacing w:after="0" w:line="250"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As a result of the foregoing, net income attributable to REX common shareholders from continuing operations for the third quarter of fiscal year 2021 was approximately $13.3 million, an increase of approximately $4.3 million from net income attributable to REX common shareholders from continuing operations of approximately $9.0 million for the third quarter of fiscal year 2020. Net income attributable to REX common shareholders from continuing operations for the first nine months of fiscal year 2021 was approximately $26.3 million, an increase of approximately $27.8 million from net loss attributable to REX common shareholders from continuing operations of approximately $1.5 million for the first nine months of fiscal year 2020.</w:t>
      </w:r>
    </w:p>
    <w:p>
      <w:pPr>
        <w:spacing w:after="0" w:line="177"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The Company ceased operation of its refined coal business as tax credits could no longer be earned on its operation beginning November 18, 2021. Beginning in the third quarter of fiscal year 2021, the results of the operation of the refined coal business will be recognized as discontinued operations. The refined coal business operated at a loss but generated tax credits that normally exceeded the operating loss. Net income attributable to REX common shareholders from discontinued operations, net of tax, for the third quarter of fiscal year 2021 was approximately $2.0 million, an increase of $2.1 million from the net loss attributable to REX common shareholder from discontinued operations, net of tax, of approximately $0.2 million for the third quarter of fiscal year 2020. Net income attributable to REX common shareholders from discontinued operations, net of tax, for the first nine months of fiscal year 2021 was approximately $4.6 million, an increase of approximately $3.7 million from net income attributable to REX common shareholders from discontinued operations, net of tax of approximately $0.9 million for the first nine months of fiscal year 2020.</w:t>
      </w:r>
    </w:p>
    <w:p>
      <w:pPr>
        <w:spacing w:after="0" w:line="208"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Through its refined coal operation, the Company earned production tax credits pursuant to IRC Section 45. The credits can be used to reduce future income tax liabilities for up to 20 years. The income tax benefit generated from discontinued operations was $4.9 million and $1.0 million for the three months ended October 31, 2021 and 2020 respectively. The income tax benefit generated from discontinued operations was $12.6 million and $4.9 million for the nine months ended October 31,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Net cash provided by operating activities was approximately $50.4 million for the first nine months of fiscal year 2021, compared to approximately $21.5 million for the first nine months of fiscal year 2020. For the first nine months of fiscal year 2021, cash was provided by net income from continuing operations of approximately $30.9 million, adjusted for non-cash items of approximately $21.8 million, which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6" w:name="page37"/>
    <w:bookmarkEnd w:id="36"/>
    <w:p>
      <w:pPr>
        <w:spacing w:after="0" w:line="272" w:lineRule="auto"/>
        <w:rPr>
          <w:sz w:val="20"/>
          <w:szCs w:val="20"/>
          <w:color w:val="auto"/>
        </w:rPr>
      </w:pPr>
      <w:r>
        <w:rPr>
          <w:rFonts w:ascii="Arial" w:cs="Arial" w:eastAsia="Arial" w:hAnsi="Arial"/>
          <w:sz w:val="19"/>
          <w:szCs w:val="19"/>
          <w:color w:val="auto"/>
        </w:rPr>
        <w:t>consisted of depreciation, amortization of operating lease right-of-use assets, income from equity method investments, interest income from short-term investments, the deferred income tax provision and stock based compensation expense. We received dividends from Big River of approximately $1.5 million during the first nine months of fiscal year 2021. An increase in the balance of accounts receivable used cash of approximately $20.3 million, primarily a result of the timing of products shipped and the receipt of customer payments at One Earth and NuGen in addition to higher sales and pricing. Inventories decreased by approximately $7.7 million, primarily a result of the timing of receipt of raw materials and the shipment of finished goods. A decrease in the balance of other assets of approximately $1.9 million primarily relates to changes in the carrying value of forward purchase contracts recorded at fair value. An increase in the balance of refundable income taxes of approximately $0.3 million primarily relates to estimated federal and state income tax payments made during fiscal year 2021. An increase in the balance of accounts payable provided cash of approximately $10.9 million, which was primarily a result of the timing of inventory receipts and vendor payments. An increase in the balance of other liabilities provided cash of approximately $2.8 million, which was primarily a result of operating lease payments. Discontinued operations used cash from operating activities of $6.4 million.</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Net cash provided by operating activities was approximately $21.5 million for the first nine months of fiscal year 2020. For the first nine months of fiscal year 2020, cash was used by a net loss from continuing operations of approximately $0.1 million, adjusted for non-cash items of approximately $17.0 million, which consisted of depreciation, amortization of operating lease right-of-use assets, income from equity method investments, interest income from short-term investments, the deferred income tax provision and stock based compensation expense. We received dividends from Big River of approximately $2.5 million during the first nine months of fiscal year 2020. A decrease in the balance of accounts receivable provided cash of approximately $0.5 million, which was primarily a result of the timing of customer shipments. Inventories decreased by approximately $14.0 million, which was primarily a result of the timing of receipt of raw materials and shipments of finished goods. A decrease in the balance of accounts payable used cash of approximately $4.4 million, which was primarily a result of the timing of inventory receipts and vendor payments. A decrease in the balance of other liabilities used cash of approximately $5.0 million, which was primarily a result of payments of operating leases and incentive compensation. Discontinued operations used cash from operating activities of $2.2 million.</w:t>
      </w:r>
    </w:p>
    <w:p>
      <w:pPr>
        <w:spacing w:after="0" w:line="188"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At October 31, 2021, working capital was approximately $260.7 million, compared to approximately $228.0 million at January 31, 2021. The ratio of current assets to current liabilities was 6.6 to 1 at October 31, 2021 and 8.4 to 1 at January 31, 2021.</w:t>
      </w:r>
    </w:p>
    <w:p>
      <w:pPr>
        <w:spacing w:after="0" w:line="21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Cash of approximately $10.4 million was provided by investing activities for the first nine months of fiscal year 2021, compared to approximately $10.0 million used during the first nine months of fiscal year 2020. During the first nine months of fiscal year 2021, we had capital expenditures of approximately $4.2 million, primarily for improvements at the One Earth and NuGen facilities. We expect capital expenditures to be in the range of approximately $3.0 million to $5.0 million for the remainder of fiscal year 2021. During the first nine months of fiscal year 2021, we purchased certificates of deposit of approximately $67.4 million and certificates of deposit of approximately $82.0 million matured. The certificates of deposit had maturities of less than one year and we classified as short-term investments. Depending on investment options available, we may elect to retain the funds, or a portion thereof, in cash investments, short-term investments or long-term investments.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37" w:name="page38"/>
    <w:bookmarkEnd w:id="37"/>
    <w:p>
      <w:pPr>
        <w:ind w:right="20" w:firstLine="648"/>
        <w:spacing w:after="0" w:line="249" w:lineRule="auto"/>
        <w:rPr>
          <w:sz w:val="20"/>
          <w:szCs w:val="20"/>
          <w:color w:val="auto"/>
        </w:rPr>
      </w:pPr>
      <w:r>
        <w:rPr>
          <w:rFonts w:ascii="Arial" w:cs="Arial" w:eastAsia="Arial" w:hAnsi="Arial"/>
          <w:sz w:val="21"/>
          <w:szCs w:val="21"/>
          <w:color w:val="auto"/>
        </w:rPr>
        <w:t>Cash of approximately $10.0 million was used in investing activities for the first nine months of fiscal year 2020. During the first nine months of fiscal year 2020, we had capital expenditures of approximately $6.6 million, primarily for the purchase of land at One Earth Energy. During the first nine months of fiscal year 2020, we purchased certificates of deposit (classified as short-term investments) of approximately $68.2 million. During the first nine months of fiscal year 2020, certificates of deposit (classified as short-term investments) of approximately $65.3 million matured.</w:t>
      </w:r>
    </w:p>
    <w:p>
      <w:pPr>
        <w:spacing w:after="0" w:line="205"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Cash of approximately $7.9 million was used in financing activities for the first nine months of fiscal year 2021, compared to approximately $18.3 million for the first nine months of fiscal year 2020. During the first nine months of fiscal year 2021, we used cash of approximately $6.6 million to purchase approximately 84,099 shares of our common stock in open market transactions. We also made payments of approximately $1.5 million to noncontrolling interests holders.</w:t>
      </w:r>
    </w:p>
    <w:p>
      <w:pPr>
        <w:spacing w:after="0" w:line="170"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Cash of approximately $18.3 million was used in financing activities for the first nine months of fiscal year 2020 as of which approximately $18.1 million was used to purchase approximately 295,000 shares of our common stock in open market transactions.</w:t>
      </w:r>
    </w:p>
    <w:p>
      <w:pPr>
        <w:spacing w:after="0" w:line="213" w:lineRule="exact"/>
        <w:rPr>
          <w:sz w:val="20"/>
          <w:szCs w:val="20"/>
          <w:color w:val="auto"/>
        </w:rPr>
      </w:pPr>
    </w:p>
    <w:p>
      <w:pPr>
        <w:ind w:right="300" w:firstLine="648"/>
        <w:spacing w:after="0" w:line="248" w:lineRule="auto"/>
        <w:rPr>
          <w:sz w:val="20"/>
          <w:szCs w:val="20"/>
          <w:color w:val="auto"/>
        </w:rPr>
      </w:pPr>
      <w:r>
        <w:rPr>
          <w:rFonts w:ascii="Arial" w:cs="Arial" w:eastAsia="Arial" w:hAnsi="Arial"/>
          <w:sz w:val="21"/>
          <w:szCs w:val="21"/>
          <w:color w:val="auto"/>
        </w:rPr>
        <w:t>We are investigating various uses for our excess cash and short-term investments. We have historically had a stock buyback program and during the fiscal 2021 third quarter completed a 500,000 share buyback authorization from the Board of Directors and obtained authorization to repurchase an additional 500,000 shares. From the new authorization, we still are authorized to purchase approximately 449,000 shares. We also plan to seek and evaluate investment opportunities, including ethanol and/or energy related, carbon capture related, agricultural or other ventures we believe fit our investment criteria in addition to investing in highly liquid short-term securities.</w:t>
      </w:r>
    </w:p>
    <w:p>
      <w:pPr>
        <w:spacing w:after="0" w:line="204"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We are working with the University of Illinois to explore the development of a carbon sequestration project to be located near the One Earth ethanol plant. The University of Illinois has received a United States Department of Energy award through the CarbonSAFE program, and, will evaluate the greenhouse gas storage potential by drilling a test well and performing seismic surveys. The 2-D seismic survey has been completed and the data is being processed. We also plan to do 3-D seismic survey testing which will be more involved as it will be done on more land and requires the running of linear grids across the property after receiving permission from the landowners. A permit for drilling a test well has been received from the Illinois Department of Natural Resources and the drilling has commenced. We will need to do extensive testing, modeling, and computer simulation to predict the behavior of the carbon dioxide after it is injected into the test well. Further work and research is needed to determine if this will be a feasible location for carbon sequestration and storage.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natural gas, logistical delays, our ethanol and refined coal plants operating efficiently and according to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8" w:name="page39"/>
    <w:bookmarkEnd w:id="38"/>
    <w:p>
      <w:pPr>
        <w:spacing w:after="0" w:line="236" w:lineRule="auto"/>
        <w:rPr>
          <w:sz w:val="20"/>
          <w:szCs w:val="20"/>
          <w:color w:val="auto"/>
        </w:rPr>
      </w:pPr>
      <w:r>
        <w:rPr>
          <w:rFonts w:ascii="Arial" w:cs="Arial" w:eastAsia="Arial" w:hAnsi="Arial"/>
          <w:sz w:val="22"/>
          <w:szCs w:val="22"/>
          <w:color w:val="auto"/>
        </w:rPr>
        <w:t>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2021 (File No. 001-09097).</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402" w:right="4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80" w:firstLine="495"/>
        <w:spacing w:after="0" w:line="252" w:lineRule="auto"/>
        <w:rPr>
          <w:sz w:val="20"/>
          <w:szCs w:val="20"/>
          <w:color w:val="auto"/>
        </w:rPr>
      </w:pPr>
      <w:r>
        <w:rPr>
          <w:rFonts w:ascii="Arial" w:cs="Arial" w:eastAsia="Arial" w:hAnsi="Arial"/>
          <w:sz w:val="21"/>
          <w:szCs w:val="21"/>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October 31, 2021 is as follows, assuming normal operating capacity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2"/>
                <w:szCs w:val="22"/>
                <w:b w:val="1"/>
                <w:bCs w:val="1"/>
                <w:color w:val="auto"/>
              </w:rPr>
              <w:t>Estimated Total</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Volume for</w:t>
            </w: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6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37"/>
        </w:trPr>
        <w:tc>
          <w:tcPr>
            <w:tcW w:w="4200" w:type="dxa"/>
            <w:vAlign w:val="bottom"/>
            <w:gridSpan w:val="2"/>
          </w:tcPr>
          <w:p>
            <w:pPr>
              <w:spacing w:after="0" w:line="210" w:lineRule="exact"/>
              <w:rPr>
                <w:sz w:val="20"/>
                <w:szCs w:val="20"/>
                <w:color w:val="auto"/>
              </w:rPr>
            </w:pPr>
            <w:r>
              <w:rPr>
                <w:rFonts w:ascii="Arial" w:cs="Arial" w:eastAsia="Arial" w:hAnsi="Arial"/>
                <w:sz w:val="22"/>
                <w:szCs w:val="22"/>
                <w:b w:val="1"/>
                <w:bCs w:val="1"/>
                <w:color w:val="auto"/>
              </w:rPr>
              <w:t>Commodity</w:t>
            </w:r>
          </w:p>
        </w:tc>
        <w:tc>
          <w:tcPr>
            <w:tcW w:w="2400" w:type="dxa"/>
            <w:vAlign w:val="bottom"/>
            <w:gridSpan w:val="2"/>
          </w:tcPr>
          <w:p>
            <w:pPr>
              <w:spacing w:after="0" w:line="210" w:lineRule="exact"/>
              <w:rPr>
                <w:sz w:val="20"/>
                <w:szCs w:val="20"/>
                <w:color w:val="auto"/>
              </w:rPr>
            </w:pPr>
            <w:r>
              <w:rPr>
                <w:rFonts w:ascii="Arial" w:cs="Arial" w:eastAsia="Arial" w:hAnsi="Arial"/>
                <w:sz w:val="22"/>
                <w:szCs w:val="22"/>
                <w:b w:val="1"/>
                <w:bCs w:val="1"/>
                <w:color w:val="auto"/>
              </w:rPr>
              <w:t>12 Months</w:t>
            </w:r>
          </w:p>
        </w:tc>
        <w:tc>
          <w:tcPr>
            <w:tcW w:w="1880" w:type="dxa"/>
            <w:vAlign w:val="bottom"/>
            <w:gridSpan w:val="2"/>
          </w:tcPr>
          <w:p>
            <w:pPr>
              <w:spacing w:after="0" w:line="210" w:lineRule="exact"/>
              <w:rPr>
                <w:sz w:val="20"/>
                <w:szCs w:val="20"/>
                <w:color w:val="auto"/>
              </w:rPr>
            </w:pPr>
            <w:r>
              <w:rPr>
                <w:rFonts w:ascii="Arial" w:cs="Arial" w:eastAsia="Arial" w:hAnsi="Arial"/>
                <w:sz w:val="22"/>
                <w:szCs w:val="22"/>
                <w:b w:val="1"/>
                <w:bCs w:val="1"/>
                <w:color w:val="auto"/>
              </w:rPr>
              <w:t>Unit of Measure</w:t>
            </w:r>
          </w:p>
        </w:tc>
        <w:tc>
          <w:tcPr>
            <w:tcW w:w="2760" w:type="dxa"/>
            <w:vAlign w:val="bottom"/>
            <w:gridSpan w:val="3"/>
          </w:tcPr>
          <w:p>
            <w:pPr>
              <w:spacing w:after="0" w:line="210" w:lineRule="exact"/>
              <w:rPr>
                <w:sz w:val="20"/>
                <w:szCs w:val="20"/>
                <w:color w:val="auto"/>
              </w:rPr>
            </w:pPr>
            <w:r>
              <w:rPr>
                <w:rFonts w:ascii="Arial" w:cs="Arial" w:eastAsia="Arial" w:hAnsi="Arial"/>
                <w:sz w:val="22"/>
                <w:szCs w:val="22"/>
                <w:b w:val="1"/>
                <w:bCs w:val="1"/>
                <w:color w:val="auto"/>
              </w:rPr>
              <w:t>Adverse Change in Price</w:t>
            </w:r>
          </w:p>
        </w:tc>
      </w:tr>
      <w:tr>
        <w:trPr>
          <w:trHeight w:val="270"/>
        </w:trPr>
        <w:tc>
          <w:tcPr>
            <w:tcW w:w="1100" w:type="dxa"/>
            <w:vAlign w:val="bottom"/>
            <w:tcBorders>
              <w:top w:val="single" w:sz="8" w:color="auto"/>
            </w:tcBorders>
          </w:tcPr>
          <w:p>
            <w:pPr>
              <w:spacing w:after="0"/>
              <w:rPr>
                <w:sz w:val="23"/>
                <w:szCs w:val="23"/>
                <w:color w:val="auto"/>
              </w:rPr>
            </w:pPr>
          </w:p>
        </w:tc>
        <w:tc>
          <w:tcPr>
            <w:tcW w:w="310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460" w:type="dxa"/>
            <w:vAlign w:val="bottom"/>
          </w:tcPr>
          <w:p>
            <w:pPr>
              <w:spacing w:after="0"/>
              <w:rPr>
                <w:sz w:val="23"/>
                <w:szCs w:val="23"/>
                <w:color w:val="auto"/>
              </w:rPr>
            </w:pPr>
          </w:p>
        </w:tc>
      </w:tr>
      <w:tr>
        <w:trPr>
          <w:trHeight w:val="243"/>
        </w:trPr>
        <w:tc>
          <w:tcPr>
            <w:tcW w:w="42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400" w:type="dxa"/>
            <w:vAlign w:val="bottom"/>
            <w:gridSpan w:val="2"/>
            <w:shd w:val="clear" w:color="auto" w:fill="E5FFFF"/>
          </w:tcPr>
          <w:p>
            <w:pPr>
              <w:jc w:val="right"/>
              <w:ind w:right="920"/>
              <w:spacing w:after="0" w:line="243" w:lineRule="exact"/>
              <w:rPr>
                <w:sz w:val="20"/>
                <w:szCs w:val="20"/>
                <w:color w:val="auto"/>
              </w:rPr>
            </w:pPr>
            <w:r>
              <w:rPr>
                <w:rFonts w:ascii="Arial" w:cs="Arial" w:eastAsia="Arial" w:hAnsi="Arial"/>
                <w:sz w:val="22"/>
                <w:szCs w:val="22"/>
                <w:color w:val="auto"/>
              </w:rPr>
              <w:t>280,000</w:t>
            </w:r>
          </w:p>
        </w:tc>
        <w:tc>
          <w:tcPr>
            <w:tcW w:w="1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Gallons</w:t>
            </w:r>
          </w:p>
        </w:tc>
        <w:tc>
          <w:tcPr>
            <w:tcW w:w="10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Arial" w:cs="Arial" w:eastAsia="Arial" w:hAnsi="Arial"/>
                <w:sz w:val="22"/>
                <w:szCs w:val="22"/>
                <w:color w:val="auto"/>
                <w:w w:val="86"/>
              </w:rPr>
              <w:t>69,669</w:t>
            </w:r>
          </w:p>
        </w:tc>
        <w:tc>
          <w:tcPr>
            <w:tcW w:w="460" w:type="dxa"/>
            <w:vAlign w:val="bottom"/>
            <w:shd w:val="clear" w:color="auto" w:fill="E5FFFF"/>
          </w:tcPr>
          <w:p>
            <w:pPr>
              <w:spacing w:after="0"/>
              <w:rPr>
                <w:sz w:val="21"/>
                <w:szCs w:val="2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2400" w:type="dxa"/>
            <w:vAlign w:val="bottom"/>
            <w:gridSpan w:val="2"/>
          </w:tcPr>
          <w:p>
            <w:pPr>
              <w:jc w:val="right"/>
              <w:ind w:right="920"/>
              <w:spacing w:after="0" w:line="243" w:lineRule="exact"/>
              <w:rPr>
                <w:sz w:val="20"/>
                <w:szCs w:val="20"/>
                <w:color w:val="auto"/>
              </w:rPr>
            </w:pPr>
            <w:r>
              <w:rPr>
                <w:rFonts w:ascii="Arial" w:cs="Arial" w:eastAsia="Arial" w:hAnsi="Arial"/>
                <w:sz w:val="22"/>
                <w:szCs w:val="22"/>
                <w:color w:val="auto"/>
              </w:rPr>
              <w:t>100,000</w:t>
            </w:r>
          </w:p>
        </w:tc>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rPr>
              <w:t>Bushels</w:t>
            </w: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tcPr>
          <w:p>
            <w:pPr>
              <w:jc w:val="right"/>
              <w:ind w:right="512"/>
              <w:spacing w:after="0" w:line="243" w:lineRule="exact"/>
              <w:rPr>
                <w:sz w:val="20"/>
                <w:szCs w:val="20"/>
                <w:color w:val="auto"/>
              </w:rPr>
            </w:pPr>
            <w:r>
              <w:rPr>
                <w:rFonts w:ascii="Arial" w:cs="Arial" w:eastAsia="Arial" w:hAnsi="Arial"/>
                <w:sz w:val="22"/>
                <w:szCs w:val="22"/>
                <w:color w:val="auto"/>
                <w:w w:val="86"/>
              </w:rPr>
              <w:t>48,528</w:t>
            </w:r>
          </w:p>
        </w:tc>
        <w:tc>
          <w:tcPr>
            <w:tcW w:w="460" w:type="dxa"/>
            <w:vAlign w:val="bottom"/>
          </w:tcPr>
          <w:p>
            <w:pPr>
              <w:spacing w:after="0"/>
              <w:rPr>
                <w:sz w:val="21"/>
                <w:szCs w:val="21"/>
                <w:color w:val="auto"/>
              </w:rPr>
            </w:pPr>
          </w:p>
        </w:tc>
      </w:tr>
      <w:tr>
        <w:trPr>
          <w:trHeight w:val="243"/>
        </w:trPr>
        <w:tc>
          <w:tcPr>
            <w:tcW w:w="42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2400" w:type="dxa"/>
            <w:vAlign w:val="bottom"/>
            <w:gridSpan w:val="2"/>
            <w:shd w:val="clear" w:color="auto" w:fill="E5FFFF"/>
          </w:tcPr>
          <w:p>
            <w:pPr>
              <w:jc w:val="right"/>
              <w:ind w:right="920"/>
              <w:spacing w:after="0" w:line="243" w:lineRule="exact"/>
              <w:rPr>
                <w:sz w:val="20"/>
                <w:szCs w:val="20"/>
                <w:color w:val="auto"/>
              </w:rPr>
            </w:pPr>
            <w:r>
              <w:rPr>
                <w:rFonts w:ascii="Arial" w:cs="Arial" w:eastAsia="Arial" w:hAnsi="Arial"/>
                <w:sz w:val="22"/>
                <w:szCs w:val="22"/>
                <w:color w:val="auto"/>
              </w:rPr>
              <w:t>725</w:t>
            </w:r>
          </w:p>
        </w:tc>
        <w:tc>
          <w:tcPr>
            <w:tcW w:w="1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Tons</w:t>
            </w:r>
          </w:p>
        </w:tc>
        <w:tc>
          <w:tcPr>
            <w:tcW w:w="10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Arial" w:cs="Arial" w:eastAsia="Arial" w:hAnsi="Arial"/>
                <w:sz w:val="22"/>
                <w:szCs w:val="22"/>
                <w:color w:val="auto"/>
                <w:w w:val="86"/>
              </w:rPr>
              <w:t>10,509</w:t>
            </w:r>
          </w:p>
        </w:tc>
        <w:tc>
          <w:tcPr>
            <w:tcW w:w="460" w:type="dxa"/>
            <w:vAlign w:val="bottom"/>
            <w:shd w:val="clear" w:color="auto" w:fill="E5FFFF"/>
          </w:tcPr>
          <w:p>
            <w:pPr>
              <w:spacing w:after="0"/>
              <w:rPr>
                <w:sz w:val="21"/>
                <w:szCs w:val="21"/>
                <w:color w:val="auto"/>
              </w:rPr>
            </w:pP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Non-food grade Corn Oil</w:t>
            </w:r>
          </w:p>
        </w:tc>
        <w:tc>
          <w:tcPr>
            <w:tcW w:w="2400" w:type="dxa"/>
            <w:vAlign w:val="bottom"/>
            <w:gridSpan w:val="2"/>
          </w:tcPr>
          <w:p>
            <w:pPr>
              <w:jc w:val="right"/>
              <w:ind w:right="920"/>
              <w:spacing w:after="0" w:line="243" w:lineRule="exact"/>
              <w:rPr>
                <w:sz w:val="20"/>
                <w:szCs w:val="20"/>
                <w:color w:val="auto"/>
              </w:rPr>
            </w:pPr>
            <w:r>
              <w:rPr>
                <w:rFonts w:ascii="Arial" w:cs="Arial" w:eastAsia="Arial" w:hAnsi="Arial"/>
                <w:sz w:val="22"/>
                <w:szCs w:val="22"/>
                <w:color w:val="auto"/>
              </w:rPr>
              <w:t>73,700</w:t>
            </w:r>
          </w:p>
        </w:tc>
        <w:tc>
          <w:tcPr>
            <w:tcW w:w="1880" w:type="dxa"/>
            <w:vAlign w:val="bottom"/>
            <w:gridSpan w:val="2"/>
          </w:tcPr>
          <w:p>
            <w:pPr>
              <w:spacing w:after="0" w:line="243" w:lineRule="exact"/>
              <w:rPr>
                <w:sz w:val="20"/>
                <w:szCs w:val="20"/>
                <w:color w:val="auto"/>
              </w:rPr>
            </w:pPr>
            <w:r>
              <w:rPr>
                <w:rFonts w:ascii="Arial" w:cs="Arial" w:eastAsia="Arial" w:hAnsi="Arial"/>
                <w:sz w:val="22"/>
                <w:szCs w:val="22"/>
                <w:color w:val="auto"/>
              </w:rPr>
              <w:t>Pounds</w:t>
            </w: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tcPr>
          <w:p>
            <w:pPr>
              <w:jc w:val="right"/>
              <w:ind w:right="512"/>
              <w:spacing w:after="0" w:line="243" w:lineRule="exact"/>
              <w:rPr>
                <w:sz w:val="20"/>
                <w:szCs w:val="20"/>
                <w:color w:val="auto"/>
              </w:rPr>
            </w:pPr>
            <w:r>
              <w:rPr>
                <w:rFonts w:ascii="Arial" w:cs="Arial" w:eastAsia="Arial" w:hAnsi="Arial"/>
                <w:sz w:val="22"/>
                <w:szCs w:val="22"/>
                <w:color w:val="auto"/>
              </w:rPr>
              <w:t>3,595</w:t>
            </w:r>
          </w:p>
        </w:tc>
        <w:tc>
          <w:tcPr>
            <w:tcW w:w="460" w:type="dxa"/>
            <w:vAlign w:val="bottom"/>
          </w:tcPr>
          <w:p>
            <w:pPr>
              <w:spacing w:after="0"/>
              <w:rPr>
                <w:sz w:val="21"/>
                <w:szCs w:val="21"/>
                <w:color w:val="auto"/>
              </w:rPr>
            </w:pPr>
          </w:p>
        </w:tc>
      </w:tr>
      <w:tr>
        <w:trPr>
          <w:trHeight w:val="243"/>
        </w:trPr>
        <w:tc>
          <w:tcPr>
            <w:tcW w:w="42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2400" w:type="dxa"/>
            <w:vAlign w:val="bottom"/>
            <w:gridSpan w:val="2"/>
            <w:shd w:val="clear" w:color="auto" w:fill="E5FFFF"/>
          </w:tcPr>
          <w:p>
            <w:pPr>
              <w:jc w:val="right"/>
              <w:ind w:right="920"/>
              <w:spacing w:after="0" w:line="243" w:lineRule="exact"/>
              <w:rPr>
                <w:sz w:val="20"/>
                <w:szCs w:val="20"/>
                <w:color w:val="auto"/>
              </w:rPr>
            </w:pPr>
            <w:r>
              <w:rPr>
                <w:rFonts w:ascii="Arial" w:cs="Arial" w:eastAsia="Arial" w:hAnsi="Arial"/>
                <w:sz w:val="22"/>
                <w:szCs w:val="22"/>
                <w:color w:val="auto"/>
              </w:rPr>
              <w:t>7,400</w:t>
            </w:r>
          </w:p>
        </w:tc>
        <w:tc>
          <w:tcPr>
            <w:tcW w:w="18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MmBtu</w:t>
            </w:r>
          </w:p>
        </w:tc>
        <w:tc>
          <w:tcPr>
            <w:tcW w:w="10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E5FFFF"/>
          </w:tcPr>
          <w:p>
            <w:pPr>
              <w:jc w:val="right"/>
              <w:ind w:right="512"/>
              <w:spacing w:after="0" w:line="243" w:lineRule="exact"/>
              <w:rPr>
                <w:sz w:val="20"/>
                <w:szCs w:val="20"/>
                <w:color w:val="auto"/>
              </w:rPr>
            </w:pPr>
            <w:r>
              <w:rPr>
                <w:rFonts w:ascii="Arial" w:cs="Arial" w:eastAsia="Arial" w:hAnsi="Arial"/>
                <w:sz w:val="22"/>
                <w:szCs w:val="22"/>
                <w:color w:val="auto"/>
              </w:rPr>
              <w:t>2,733</w:t>
            </w:r>
          </w:p>
        </w:tc>
        <w:tc>
          <w:tcPr>
            <w:tcW w:w="460" w:type="dxa"/>
            <w:vAlign w:val="bottom"/>
            <w:shd w:val="clear" w:color="auto" w:fill="E5FFFF"/>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0" w:name="page41"/>
    <w:bookmarkEnd w:id="40"/>
    <w:p>
      <w:pPr>
        <w:ind w:left="4280"/>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There have been no material changes to the risk factors discussed in our Annual Report on Form 10-K for the year ended January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580" w:hanging="641"/>
        <w:spacing w:after="0"/>
        <w:tabs>
          <w:tab w:leader="none" w:pos="1580" w:val="left"/>
        </w:tabs>
        <w:numPr>
          <w:ilvl w:val="0"/>
          <w:numId w:val="9"/>
        </w:numPr>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Rule 13a-14(a)/15d-14(a) Certifications</w:t>
        </w:r>
      </w:hyperlink>
    </w:p>
    <w:p>
      <w:pPr>
        <w:spacing w:after="0" w:line="233" w:lineRule="exact"/>
        <w:rPr>
          <w:rFonts w:ascii="Arial" w:cs="Arial" w:eastAsia="Arial" w:hAnsi="Arial"/>
          <w:sz w:val="22"/>
          <w:szCs w:val="22"/>
          <w:u w:val="single" w:color="auto"/>
          <w:color w:val="0000EE"/>
        </w:rPr>
      </w:pPr>
    </w:p>
    <w:p>
      <w:pPr>
        <w:ind w:left="1580" w:hanging="641"/>
        <w:spacing w:after="0"/>
        <w:tabs>
          <w:tab w:leader="none" w:pos="1580" w:val="left"/>
        </w:tabs>
        <w:numPr>
          <w:ilvl w:val="0"/>
          <w:numId w:val="9"/>
        </w:numPr>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Section 1350 Certifications</w:t>
        </w:r>
      </w:hyperlink>
    </w:p>
    <w:p>
      <w:pPr>
        <w:spacing w:after="0" w:line="233" w:lineRule="exact"/>
        <w:rPr>
          <w:rFonts w:ascii="Arial" w:cs="Arial" w:eastAsia="Arial" w:hAnsi="Arial"/>
          <w:sz w:val="22"/>
          <w:szCs w:val="22"/>
          <w:color w:val="auto"/>
        </w:rPr>
      </w:pPr>
    </w:p>
    <w:p>
      <w:pPr>
        <w:ind w:left="1580" w:hanging="641"/>
        <w:spacing w:after="0" w:line="236" w:lineRule="auto"/>
        <w:tabs>
          <w:tab w:leader="none" w:pos="15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following information from REX American Resources Corporation Quarterly Report on Form 10-Q for the quarter ended October 31, 2021, formatted in iXBRL: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60" w:lineRule="exact"/>
        <w:rPr>
          <w:rFonts w:ascii="Arial" w:cs="Arial" w:eastAsia="Arial" w:hAnsi="Arial"/>
          <w:sz w:val="22"/>
          <w:szCs w:val="22"/>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REX American Resources Corporation</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gridSpan w:val="4"/>
          </w:tcPr>
          <w:p>
            <w:pPr>
              <w:jc w:val="center"/>
              <w:ind w:right="1300"/>
              <w:spacing w:after="0"/>
              <w:rPr>
                <w:sz w:val="20"/>
                <w:szCs w:val="20"/>
                <w:color w:val="auto"/>
              </w:rPr>
            </w:pPr>
            <w:r>
              <w:rPr>
                <w:rFonts w:ascii="Arial" w:cs="Arial" w:eastAsia="Arial" w:hAnsi="Arial"/>
                <w:sz w:val="22"/>
                <w:szCs w:val="22"/>
                <w:b w:val="1"/>
                <w:bCs w:val="1"/>
                <w:color w:val="auto"/>
                <w:w w:val="88"/>
              </w:rPr>
              <w:t>Signature</w:t>
            </w:r>
          </w:p>
        </w:tc>
        <w:tc>
          <w:tcPr>
            <w:tcW w:w="1980" w:type="dxa"/>
            <w:vAlign w:val="bottom"/>
          </w:tcPr>
          <w:p>
            <w:pPr>
              <w:spacing w:after="0"/>
              <w:rPr>
                <w:sz w:val="21"/>
                <w:szCs w:val="21"/>
                <w:color w:val="auto"/>
              </w:rPr>
            </w:pPr>
          </w:p>
        </w:tc>
        <w:tc>
          <w:tcPr>
            <w:tcW w:w="258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c>
          <w:tcPr>
            <w:tcW w:w="3240" w:type="dxa"/>
            <w:vAlign w:val="bottom"/>
            <w:gridSpan w:val="3"/>
          </w:tcPr>
          <w:p>
            <w:pPr>
              <w:jc w:val="center"/>
              <w:ind w:right="120"/>
              <w:spacing w:after="0"/>
              <w:rPr>
                <w:sz w:val="20"/>
                <w:szCs w:val="20"/>
                <w:color w:val="auto"/>
              </w:rPr>
            </w:pPr>
            <w:r>
              <w:rPr>
                <w:rFonts w:ascii="Arial" w:cs="Arial" w:eastAsia="Arial" w:hAnsi="Arial"/>
                <w:sz w:val="22"/>
                <w:szCs w:val="22"/>
                <w:b w:val="1"/>
                <w:bCs w:val="1"/>
                <w:color w:val="auto"/>
                <w:w w:val="92"/>
              </w:rPr>
              <w:t>Date</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66"/>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2"/>
              </w:rPr>
              <w:t>/s/ Zafar Rizvi</w:t>
            </w:r>
          </w:p>
        </w:tc>
        <w:tc>
          <w:tcPr>
            <w:tcW w:w="1120" w:type="dxa"/>
            <w:vAlign w:val="bottom"/>
            <w:gridSpan w:val="2"/>
          </w:tcPr>
          <w:p>
            <w:pPr>
              <w:spacing w:after="0"/>
              <w:rPr>
                <w:sz w:val="24"/>
                <w:szCs w:val="24"/>
                <w:color w:val="auto"/>
              </w:rPr>
            </w:pPr>
          </w:p>
        </w:tc>
        <w:tc>
          <w:tcPr>
            <w:tcW w:w="4560" w:type="dxa"/>
            <w:vAlign w:val="bottom"/>
            <w:gridSpan w:val="3"/>
          </w:tcPr>
          <w:p>
            <w:pPr>
              <w:jc w:val="center"/>
              <w:ind w:right="240"/>
              <w:spacing w:after="0"/>
              <w:rPr>
                <w:sz w:val="20"/>
                <w:szCs w:val="20"/>
                <w:color w:val="auto"/>
              </w:rPr>
            </w:pPr>
            <w:r>
              <w:rPr>
                <w:rFonts w:ascii="Arial" w:cs="Arial" w:eastAsia="Arial" w:hAnsi="Arial"/>
                <w:sz w:val="22"/>
                <w:szCs w:val="22"/>
                <w:color w:val="auto"/>
                <w:w w:val="89"/>
              </w:rPr>
              <w:t>Chief Executive Officer and President</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4"/>
        </w:trPr>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60" w:type="dxa"/>
            <w:vAlign w:val="bottom"/>
            <w:gridSpan w:val="5"/>
          </w:tcPr>
          <w:p>
            <w:pPr>
              <w:jc w:val="center"/>
              <w:ind w:right="1140"/>
              <w:spacing w:after="0"/>
              <w:rPr>
                <w:sz w:val="20"/>
                <w:szCs w:val="20"/>
                <w:color w:val="auto"/>
              </w:rPr>
            </w:pPr>
            <w:r>
              <w:rPr>
                <w:rFonts w:ascii="Arial" w:cs="Arial" w:eastAsia="Arial" w:hAnsi="Arial"/>
                <w:sz w:val="22"/>
                <w:szCs w:val="22"/>
                <w:color w:val="auto"/>
                <w:w w:val="95"/>
              </w:rPr>
              <w:t>(Zafar Rizvi)</w:t>
            </w:r>
          </w:p>
        </w:tc>
        <w:tc>
          <w:tcPr>
            <w:tcW w:w="4560" w:type="dxa"/>
            <w:vAlign w:val="bottom"/>
            <w:gridSpan w:val="3"/>
          </w:tcPr>
          <w:p>
            <w:pPr>
              <w:ind w:left="600"/>
              <w:spacing w:after="0"/>
              <w:rPr>
                <w:sz w:val="20"/>
                <w:szCs w:val="20"/>
                <w:color w:val="auto"/>
              </w:rPr>
            </w:pPr>
            <w:r>
              <w:rPr>
                <w:rFonts w:ascii="Arial" w:cs="Arial" w:eastAsia="Arial" w:hAnsi="Arial"/>
                <w:sz w:val="22"/>
                <w:szCs w:val="22"/>
                <w:color w:val="auto"/>
              </w:rPr>
              <w:t>(Chief Executive Officer)</w:t>
            </w:r>
          </w:p>
        </w:tc>
        <w:tc>
          <w:tcPr>
            <w:tcW w:w="3240" w:type="dxa"/>
            <w:vAlign w:val="bottom"/>
            <w:gridSpan w:val="3"/>
          </w:tcPr>
          <w:p>
            <w:pPr>
              <w:jc w:val="center"/>
              <w:ind w:right="120"/>
              <w:spacing w:after="0"/>
              <w:rPr>
                <w:sz w:val="20"/>
                <w:szCs w:val="20"/>
                <w:color w:val="auto"/>
              </w:rPr>
            </w:pPr>
            <w:r>
              <w:rPr>
                <w:rFonts w:ascii="Arial" w:cs="Arial" w:eastAsia="Arial" w:hAnsi="Arial"/>
                <w:sz w:val="22"/>
                <w:szCs w:val="22"/>
                <w:color w:val="auto"/>
                <w:w w:val="88"/>
              </w:rPr>
              <w:t>December 3, 2021</w:t>
            </w:r>
          </w:p>
        </w:tc>
      </w:tr>
      <w:tr>
        <w:trPr>
          <w:trHeight w:val="435"/>
        </w:trPr>
        <w:tc>
          <w:tcPr>
            <w:tcW w:w="640" w:type="dxa"/>
            <w:vAlign w:val="bottom"/>
          </w:tcPr>
          <w:p>
            <w:pPr>
              <w:spacing w:after="0"/>
              <w:rPr>
                <w:sz w:val="24"/>
                <w:szCs w:val="24"/>
                <w:color w:val="auto"/>
              </w:rPr>
            </w:pPr>
          </w:p>
        </w:tc>
        <w:tc>
          <w:tcPr>
            <w:tcW w:w="2800" w:type="dxa"/>
            <w:vAlign w:val="bottom"/>
            <w:gridSpan w:val="6"/>
          </w:tcPr>
          <w:p>
            <w:pPr>
              <w:jc w:val="center"/>
              <w:ind w:right="520"/>
              <w:spacing w:after="0"/>
              <w:rPr>
                <w:sz w:val="20"/>
                <w:szCs w:val="20"/>
                <w:color w:val="auto"/>
              </w:rPr>
            </w:pPr>
            <w:r>
              <w:rPr>
                <w:rFonts w:ascii="Arial" w:cs="Arial" w:eastAsia="Arial" w:hAnsi="Arial"/>
                <w:sz w:val="22"/>
                <w:szCs w:val="22"/>
                <w:color w:val="auto"/>
                <w:w w:val="89"/>
              </w:rPr>
              <w:t>/s/ Douglas L. Bruggeman</w:t>
            </w:r>
          </w:p>
        </w:tc>
        <w:tc>
          <w:tcPr>
            <w:tcW w:w="4560" w:type="dxa"/>
            <w:vAlign w:val="bottom"/>
            <w:gridSpan w:val="3"/>
          </w:tcPr>
          <w:p>
            <w:pPr>
              <w:jc w:val="center"/>
              <w:ind w:right="240"/>
              <w:spacing w:after="0"/>
              <w:rPr>
                <w:sz w:val="20"/>
                <w:szCs w:val="20"/>
                <w:color w:val="auto"/>
              </w:rPr>
            </w:pPr>
            <w:r>
              <w:rPr>
                <w:rFonts w:ascii="Arial" w:cs="Arial" w:eastAsia="Arial" w:hAnsi="Arial"/>
                <w:sz w:val="22"/>
                <w:szCs w:val="22"/>
                <w:color w:val="auto"/>
                <w:w w:val="87"/>
              </w:rPr>
              <w:t>Vice President, Finance and Treasurer</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3"/>
        </w:trPr>
        <w:tc>
          <w:tcPr>
            <w:tcW w:w="64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520" w:type="dxa"/>
            <w:vAlign w:val="bottom"/>
          </w:tcPr>
          <w:p>
            <w:pPr>
              <w:spacing w:after="0"/>
              <w:rPr>
                <w:sz w:val="23"/>
                <w:szCs w:val="23"/>
                <w:color w:val="auto"/>
              </w:rPr>
            </w:pPr>
          </w:p>
        </w:tc>
        <w:tc>
          <w:tcPr>
            <w:tcW w:w="4560" w:type="dxa"/>
            <w:vAlign w:val="bottom"/>
            <w:gridSpan w:val="3"/>
          </w:tcPr>
          <w:p>
            <w:pPr>
              <w:ind w:left="600"/>
              <w:spacing w:after="0"/>
              <w:rPr>
                <w:sz w:val="20"/>
                <w:szCs w:val="20"/>
                <w:color w:val="auto"/>
              </w:rPr>
            </w:pPr>
            <w:r>
              <w:rPr>
                <w:rFonts w:ascii="Arial" w:cs="Arial" w:eastAsia="Arial" w:hAnsi="Arial"/>
                <w:sz w:val="22"/>
                <w:szCs w:val="22"/>
                <w:color w:val="auto"/>
              </w:rPr>
              <w:t>(Chief Financial Officer)</w:t>
            </w:r>
          </w:p>
        </w:tc>
        <w:tc>
          <w:tcPr>
            <w:tcW w:w="3240" w:type="dxa"/>
            <w:vAlign w:val="bottom"/>
            <w:gridSpan w:val="3"/>
          </w:tcPr>
          <w:p>
            <w:pPr>
              <w:jc w:val="center"/>
              <w:ind w:right="120"/>
              <w:spacing w:after="0"/>
              <w:rPr>
                <w:sz w:val="20"/>
                <w:szCs w:val="20"/>
                <w:color w:val="auto"/>
              </w:rPr>
            </w:pPr>
            <w:r>
              <w:rPr>
                <w:rFonts w:ascii="Arial" w:cs="Arial" w:eastAsia="Arial" w:hAnsi="Arial"/>
                <w:sz w:val="22"/>
                <w:szCs w:val="22"/>
                <w:color w:val="auto"/>
                <w:w w:val="88"/>
              </w:rPr>
              <w:t>December 3, 2021</w:t>
            </w:r>
          </w:p>
        </w:tc>
      </w:tr>
      <w:tr>
        <w:trPr>
          <w:trHeight w:val="432"/>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gridSpan w:val="2"/>
          </w:tcPr>
          <w:p>
            <w:pPr>
              <w:jc w:val="center"/>
              <w:ind w:left="1852"/>
              <w:spacing w:after="0"/>
              <w:rPr>
                <w:sz w:val="20"/>
                <w:szCs w:val="20"/>
                <w:color w:val="auto"/>
              </w:rPr>
            </w:pPr>
            <w:r>
              <w:rPr>
                <w:rFonts w:ascii="Arial" w:cs="Arial" w:eastAsia="Arial" w:hAnsi="Arial"/>
                <w:sz w:val="22"/>
                <w:szCs w:val="22"/>
                <w:color w:val="auto"/>
                <w:w w:val="89"/>
              </w:rPr>
              <w:t>42</w:t>
            </w: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0"/>
        </w:trPr>
        <w:tc>
          <w:tcPr>
            <w:tcW w:w="6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9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140" w:type="dxa"/>
            <w:vAlign w:val="bottom"/>
            <w:tcBorders>
              <w:bottom w:val="single" w:sz="8" w:color="C0C0C0"/>
            </w:tcBorders>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4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80" w:firstLine="656"/>
        <w:spacing w:after="0" w:line="263"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20" w:firstLine="656"/>
        <w:spacing w:after="0" w:line="342" w:lineRule="auto"/>
        <w:tabs>
          <w:tab w:leader="none" w:pos="10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40" w:firstLine="656"/>
        <w:spacing w:after="0" w:line="263"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446"/>
        <w:spacing w:after="0" w:line="263" w:lineRule="auto"/>
        <w:tabs>
          <w:tab w:leader="none" w:pos="144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60" w:firstLine="446"/>
        <w:spacing w:after="0" w:line="263" w:lineRule="auto"/>
        <w:tabs>
          <w:tab w:leader="none" w:pos="14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100" w:firstLine="446"/>
        <w:spacing w:after="0" w:line="342" w:lineRule="auto"/>
        <w:tabs>
          <w:tab w:leader="none" w:pos="144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60" w:firstLine="446"/>
        <w:spacing w:after="0" w:line="263" w:lineRule="auto"/>
        <w:tabs>
          <w:tab w:leader="none" w:pos="14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656" w:firstLine="656"/>
        <w:spacing w:after="0" w:line="308" w:lineRule="auto"/>
        <w:tabs>
          <w:tab w:leader="none" w:pos="44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20" w:firstLine="446"/>
        <w:spacing w:after="0" w:line="308" w:lineRule="auto"/>
        <w:tabs>
          <w:tab w:leader="none" w:pos="78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600" w:firstLine="446"/>
        <w:spacing w:after="0" w:line="277" w:lineRule="auto"/>
        <w:tabs>
          <w:tab w:leader="none" w:pos="7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Date: December 3, 2021</w:t>
      </w:r>
    </w:p>
    <w:p>
      <w:pPr>
        <w:spacing w:after="0" w:line="225"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610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9" w:right="3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1100" w:hanging="4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40" w:firstLine="656"/>
        <w:spacing w:after="0" w:line="263" w:lineRule="auto"/>
        <w:tabs>
          <w:tab w:leader="none" w:pos="1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80" w:firstLine="656"/>
        <w:spacing w:after="0" w:line="342" w:lineRule="auto"/>
        <w:tabs>
          <w:tab w:leader="none" w:pos="10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656"/>
        <w:spacing w:after="0" w:line="263" w:lineRule="auto"/>
        <w:tabs>
          <w:tab w:leader="none" w:pos="1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40" w:firstLine="446"/>
        <w:spacing w:after="0" w:line="263" w:lineRule="auto"/>
        <w:tabs>
          <w:tab w:leader="none" w:pos="14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220" w:firstLine="446"/>
        <w:spacing w:after="0" w:line="263" w:lineRule="auto"/>
        <w:tabs>
          <w:tab w:leader="none" w:pos="14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60" w:firstLine="446"/>
        <w:spacing w:after="0" w:line="342" w:lineRule="auto"/>
        <w:tabs>
          <w:tab w:leader="none" w:pos="144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 w:firstLine="446"/>
        <w:spacing w:after="0" w:line="263" w:lineRule="auto"/>
        <w:tabs>
          <w:tab w:leader="none" w:pos="14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45" w:name="page46"/>
    <w:bookmarkEnd w:id="45"/>
    <w:p>
      <w:pPr>
        <w:ind w:left="-656" w:firstLine="656"/>
        <w:spacing w:after="0" w:line="308" w:lineRule="auto"/>
        <w:tabs>
          <w:tab w:leader="none" w:pos="44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20" w:firstLine="446"/>
        <w:spacing w:after="0" w:line="308" w:lineRule="auto"/>
        <w:tabs>
          <w:tab w:leader="none" w:pos="789"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600" w:firstLine="446"/>
        <w:spacing w:after="0" w:line="277" w:lineRule="auto"/>
        <w:tabs>
          <w:tab w:leader="none" w:pos="7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Date: December 3, 2021</w:t>
      </w:r>
    </w:p>
    <w:p>
      <w:pPr>
        <w:spacing w:after="0" w:line="225"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610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610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610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40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October 31, 2021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1"/>
      <w:numFmt w:val="decimal"/>
      <w:start w:val="3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2021-12-03T14:41:51Z</dcterms:created>
  <dcterms:modified xsi:type="dcterms:W3CDTF">2021-12-03T14:41:51Z</dcterms:modified>
</cp:coreProperties>
</file>