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3" w:lineRule="exact"/>
        <w:rPr>
          <w:sz w:val="24"/>
          <w:szCs w:val="24"/>
          <w:color w:val="auto"/>
        </w:rPr>
      </w:pPr>
    </w:p>
    <w:p>
      <w:pPr>
        <w:ind w:left="460" w:right="1620" w:hanging="452"/>
        <w:spacing w:after="0" w:line="263" w:lineRule="auto"/>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April 30,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60" w:right="1620" w:hanging="452"/>
        <w:spacing w:after="0" w:line="483" w:lineRule="auto"/>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p>
      <w:pPr>
        <w:spacing w:after="0" w:line="28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31-1095548</w:t>
      </w:r>
    </w:p>
    <w:p>
      <w:pPr>
        <w:spacing w:after="0" w:line="31"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Identification Number)</w:t>
      </w:r>
    </w:p>
    <w:p>
      <w:pPr>
        <w:spacing w:after="0" w:line="200" w:lineRule="exact"/>
        <w:rPr>
          <w:sz w:val="24"/>
          <w:szCs w:val="24"/>
          <w:color w:val="auto"/>
        </w:rPr>
      </w:pPr>
    </w:p>
    <w:p>
      <w:pPr>
        <w:sectPr>
          <w:pgSz w:w="11900" w:h="16838" w:orient="portrait"/>
          <w:cols w:equalWidth="0" w:num="2">
            <w:col w:w="5700" w:space="720"/>
            <w:col w:w="4820"/>
          </w:cols>
          <w:pgMar w:left="320" w:top="509" w:right="339" w:bottom="1440" w:gutter="0" w:footer="0" w:header="0"/>
          <w:type w:val="continuous"/>
        </w:sectPr>
      </w:pPr>
    </w:p>
    <w:p>
      <w:pPr>
        <w:spacing w:after="0" w:line="3" w:lineRule="exact"/>
        <w:rPr>
          <w:sz w:val="24"/>
          <w:szCs w:val="24"/>
          <w:color w:val="auto"/>
        </w:rPr>
      </w:pPr>
    </w:p>
    <w:p>
      <w:pPr>
        <w:jc w:val="center"/>
        <w:ind w:left="1720"/>
        <w:spacing w:after="0"/>
        <w:rPr>
          <w:sz w:val="20"/>
          <w:szCs w:val="20"/>
          <w:color w:val="auto"/>
        </w:rPr>
      </w:pPr>
      <w:r>
        <w:rPr>
          <w:rFonts w:ascii="Times New Roman" w:cs="Times New Roman" w:eastAsia="Times New Roman" w:hAnsi="Times New Roman"/>
          <w:sz w:val="18"/>
          <w:szCs w:val="18"/>
          <w:b w:val="1"/>
          <w:bCs w:val="1"/>
          <w:color w:val="auto"/>
        </w:rPr>
        <w:t>7720 Paragon Road, Dayton, Ohio</w:t>
      </w:r>
    </w:p>
    <w:p>
      <w:pPr>
        <w:spacing w:after="0" w:line="31" w:lineRule="exact"/>
        <w:rPr>
          <w:sz w:val="24"/>
          <w:szCs w:val="24"/>
          <w:color w:val="auto"/>
        </w:rPr>
      </w:pPr>
    </w:p>
    <w:p>
      <w:pPr>
        <w:jc w:val="center"/>
        <w:ind w:left="17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45459</w:t>
      </w:r>
    </w:p>
    <w:p>
      <w:pPr>
        <w:spacing w:after="0" w:line="31" w:lineRule="exact"/>
        <w:rPr>
          <w:sz w:val="24"/>
          <w:szCs w:val="24"/>
          <w:color w:val="auto"/>
        </w:rPr>
      </w:pPr>
    </w:p>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189" w:lineRule="exact"/>
        <w:rPr>
          <w:sz w:val="24"/>
          <w:szCs w:val="24"/>
          <w:color w:val="auto"/>
        </w:rPr>
      </w:pPr>
    </w:p>
    <w:p>
      <w:pPr>
        <w:sectPr>
          <w:pgSz w:w="11900" w:h="16838" w:orient="portrait"/>
          <w:cols w:equalWidth="0" w:num="2">
            <w:col w:w="6180" w:space="720"/>
            <w:col w:w="4340"/>
          </w:cols>
          <w:pgMar w:left="320" w:top="50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(937) 276-3931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509" w:right="33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1360"/>
        <w:spacing w:after="0"/>
        <w:tabs>
          <w:tab w:leader="none" w:pos="402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900"/>
        <w:spacing w:after="0"/>
        <w:tabs>
          <w:tab w:leader="none" w:pos="4720" w:val="left"/>
        </w:tabs>
        <w:rPr>
          <w:sz w:val="20"/>
          <w:szCs w:val="20"/>
          <w:color w:val="auto"/>
        </w:rPr>
      </w:pPr>
      <w:r>
        <w:rPr>
          <w:rFonts w:ascii="Times New Roman" w:cs="Times New Roman" w:eastAsia="Times New Roman" w:hAnsi="Times New Roman"/>
          <w:sz w:val="18"/>
          <w:szCs w:val="18"/>
          <w:color w:val="auto"/>
        </w:rPr>
        <w:t>REX</w:t>
      </w:r>
      <w:r>
        <w:rPr>
          <w:sz w:val="20"/>
          <w:szCs w:val="20"/>
          <w:color w:val="auto"/>
        </w:rPr>
        <w:tab/>
      </w:r>
      <w:r>
        <w:rPr>
          <w:rFonts w:ascii="Times New Roman" w:cs="Times New Roman" w:eastAsia="Times New Roman" w:hAnsi="Times New Roman"/>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wp:posOffset>
            </wp:positionH>
            <wp:positionV relativeFrom="paragraph">
              <wp:posOffset>66040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93" w:lineRule="exact"/>
        <w:rPr>
          <w:sz w:val="24"/>
          <w:szCs w:val="24"/>
          <w:color w:val="auto"/>
        </w:rPr>
      </w:pPr>
    </w:p>
    <w:p>
      <w:pPr>
        <w:sectPr>
          <w:pgSz w:w="11900" w:h="16838" w:orient="portrait"/>
          <w:cols w:equalWidth="0" w:num="2">
            <w:col w:w="3120" w:space="440"/>
            <w:col w:w="7680"/>
          </w:cols>
          <w:pgMar w:left="320" w:top="509"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0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509" w:right="339" w:bottom="1440" w:gutter="0" w:footer="0" w:header="0"/>
          <w:type w:val="continuous"/>
        </w:sectPr>
      </w:pP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7"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1620" w:space="100"/>
            <w:col w:w="5440" w:space="720"/>
            <w:col w:w="3360"/>
          </w:cols>
          <w:pgMar w:left="320" w:top="509"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the close of business on June 1, 2026, the registrant had 32,937,718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0" w:type="dxa"/>
            <w:vAlign w:val="bottom"/>
            <w:gridSpan w:val="16"/>
          </w:tcPr>
          <w:p>
            <w:pPr>
              <w:jc w:val="center"/>
              <w:ind w:right="540"/>
              <w:spacing w:after="0"/>
              <w:rPr>
                <w:sz w:val="20"/>
                <w:szCs w:val="20"/>
                <w:color w:val="auto"/>
              </w:rPr>
            </w:pPr>
            <w:r>
              <w:rPr>
                <w:rFonts w:ascii="Times New Roman" w:cs="Times New Roman" w:eastAsia="Times New Roman" w:hAnsi="Times New Roman"/>
                <w:sz w:val="22"/>
                <w:szCs w:val="22"/>
                <w:color w:val="auto"/>
                <w:w w:val="97"/>
              </w:rPr>
              <w:t>REX AMERICAN RESOURCES CORPORATION AND SUBSIDIARIES</w:t>
            </w:r>
          </w:p>
        </w:tc>
        <w:tc>
          <w:tcPr>
            <w:tcW w:w="144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00" w:type="dxa"/>
            <w:vAlign w:val="bottom"/>
            <w:gridSpan w:val="4"/>
          </w:tcPr>
          <w:p>
            <w:pPr>
              <w:jc w:val="center"/>
              <w:ind w:right="3260"/>
              <w:spacing w:after="0"/>
              <w:rPr>
                <w:sz w:val="20"/>
                <w:szCs w:val="20"/>
                <w:color w:val="auto"/>
              </w:rPr>
            </w:pPr>
            <w:r>
              <w:rPr>
                <w:rFonts w:ascii="Times New Roman" w:cs="Times New Roman" w:eastAsia="Times New Roman" w:hAnsi="Times New Roman"/>
                <w:sz w:val="22"/>
                <w:szCs w:val="22"/>
                <w:color w:val="auto"/>
                <w:w w:val="99"/>
              </w:rPr>
              <w:t>INDEX</w:t>
            </w:r>
          </w:p>
        </w:tc>
        <w:tc>
          <w:tcPr>
            <w:tcW w:w="144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Page</w:t>
            </w:r>
          </w:p>
        </w:tc>
      </w:tr>
      <w:tr>
        <w:trPr>
          <w:trHeight w:val="433"/>
        </w:trPr>
        <w:tc>
          <w:tcPr>
            <w:tcW w:w="920" w:type="dxa"/>
            <w:vAlign w:val="bottom"/>
            <w:gridSpan w:val="5"/>
          </w:tcPr>
          <w:p>
            <w:pPr>
              <w:spacing w:after="0"/>
              <w:rPr>
                <w:sz w:val="20"/>
                <w:szCs w:val="20"/>
                <w:color w:val="auto"/>
              </w:rPr>
            </w:pPr>
            <w:r>
              <w:rPr>
                <w:rFonts w:ascii="Times New Roman" w:cs="Times New Roman" w:eastAsia="Times New Roman" w:hAnsi="Times New Roman"/>
                <w:sz w:val="22"/>
                <w:szCs w:val="22"/>
                <w:color w:val="0000EE"/>
              </w:rPr>
              <w:t>PART I.</w:t>
            </w:r>
          </w:p>
        </w:tc>
        <w:tc>
          <w:tcPr>
            <w:tcW w:w="8880" w:type="dxa"/>
            <w:vAlign w:val="bottom"/>
            <w:gridSpan w:val="18"/>
          </w:tcPr>
          <w:p>
            <w:pPr>
              <w:spacing w:after="0"/>
              <w:rPr>
                <w:sz w:val="20"/>
                <w:szCs w:val="20"/>
                <w:color w:val="auto"/>
              </w:rPr>
            </w:pPr>
            <w:r>
              <w:rPr>
                <w:rFonts w:ascii="Times New Roman" w:cs="Times New Roman" w:eastAsia="Times New Roman" w:hAnsi="Times New Roman"/>
                <w:sz w:val="22"/>
                <w:szCs w:val="22"/>
                <w:color w:val="0000EE"/>
              </w:rPr>
              <w:t>FINANCIAL INFORMATION</w:t>
            </w:r>
          </w:p>
        </w:tc>
        <w:tc>
          <w:tcPr>
            <w:tcW w:w="1440" w:type="dxa"/>
            <w:vAlign w:val="bottom"/>
          </w:tcPr>
          <w:p>
            <w:pPr>
              <w:spacing w:after="0"/>
              <w:rPr>
                <w:sz w:val="24"/>
                <w:szCs w:val="24"/>
                <w:color w:val="auto"/>
              </w:rPr>
            </w:pP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80" w:type="dxa"/>
            <w:vAlign w:val="bottom"/>
            <w:tcBorders>
              <w:top w:val="single" w:sz="8" w:color="0000EE"/>
            </w:tcBorders>
          </w:tcPr>
          <w:p>
            <w:pPr>
              <w:spacing w:after="0"/>
              <w:rPr>
                <w:sz w:val="24"/>
                <w:szCs w:val="24"/>
                <w:color w:val="auto"/>
              </w:rPr>
            </w:pPr>
          </w:p>
        </w:tc>
        <w:tc>
          <w:tcPr>
            <w:tcW w:w="220" w:type="dxa"/>
            <w:vAlign w:val="bottom"/>
            <w:gridSpan w:val="3"/>
          </w:tcPr>
          <w:p>
            <w:pPr>
              <w:spacing w:after="0"/>
              <w:rPr>
                <w:sz w:val="24"/>
                <w:szCs w:val="24"/>
                <w:color w:val="auto"/>
              </w:rPr>
            </w:pPr>
          </w:p>
        </w:tc>
        <w:tc>
          <w:tcPr>
            <w:tcW w:w="18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22"/>
                <w:szCs w:val="22"/>
                <w:color w:val="0000EE"/>
                <w:w w:val="96"/>
              </w:rPr>
              <w:t>Financial Statements</w:t>
            </w:r>
          </w:p>
        </w:tc>
        <w:tc>
          <w:tcPr>
            <w:tcW w:w="900" w:type="dxa"/>
            <w:vAlign w:val="bottom"/>
            <w:tcBorders>
              <w:top w:val="single" w:sz="8" w:color="0000EE"/>
            </w:tcBorders>
            <w:gridSpan w:val="4"/>
          </w:tcPr>
          <w:p>
            <w:pPr>
              <w:spacing w:after="0"/>
              <w:rPr>
                <w:sz w:val="24"/>
                <w:szCs w:val="24"/>
                <w:color w:val="auto"/>
              </w:rPr>
            </w:pPr>
          </w:p>
        </w:tc>
        <w:tc>
          <w:tcPr>
            <w:tcW w:w="6180" w:type="dxa"/>
            <w:vAlign w:val="bottom"/>
            <w:gridSpan w:val="9"/>
          </w:tcPr>
          <w:p>
            <w:pPr>
              <w:spacing w:after="0"/>
              <w:rPr>
                <w:sz w:val="24"/>
                <w:szCs w:val="24"/>
                <w:color w:val="auto"/>
              </w:rPr>
            </w:pPr>
          </w:p>
        </w:tc>
        <w:tc>
          <w:tcPr>
            <w:tcW w:w="1440" w:type="dxa"/>
            <w:vAlign w:val="bottom"/>
          </w:tcPr>
          <w:p>
            <w:pPr>
              <w:spacing w:after="0"/>
              <w:rPr>
                <w:sz w:val="24"/>
                <w:szCs w:val="24"/>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Times New Roman" w:cs="Times New Roman" w:eastAsia="Times New Roman" w:hAnsi="Times New Roman"/>
                <w:sz w:val="22"/>
                <w:szCs w:val="22"/>
                <w:color w:val="0000EE"/>
              </w:rPr>
              <w:t>Consolidated Balance Sheets</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Borders>
              <w:top w:val="single" w:sz="8" w:color="0000EE"/>
            </w:tcBorders>
            <w:gridSpan w:val="8"/>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w:t>
            </w:r>
          </w:p>
        </w:tc>
        <w:tc>
          <w:tcPr>
            <w:tcW w:w="6380" w:type="dxa"/>
            <w:vAlign w:val="bottom"/>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Operations</w:t>
            </w:r>
          </w:p>
        </w:tc>
        <w:tc>
          <w:tcPr>
            <w:tcW w:w="144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6</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Borders>
              <w:top w:val="single" w:sz="8" w:color="0000EE"/>
            </w:tcBorders>
            <w:gridSpan w:val="12"/>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Equity</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7</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Borders>
              <w:top w:val="single" w:sz="8" w:color="0000EE"/>
              <w:bottom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Cash</w:t>
            </w:r>
          </w:p>
        </w:tc>
        <w:tc>
          <w:tcPr>
            <w:tcW w:w="440" w:type="dxa"/>
            <w:vAlign w:val="bottom"/>
            <w:tcBorders>
              <w:bottom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EE"/>
                <w:w w:val="77"/>
              </w:rPr>
              <w:t>Flows</w:t>
            </w:r>
          </w:p>
        </w:tc>
        <w:tc>
          <w:tcPr>
            <w:tcW w:w="5440" w:type="dxa"/>
            <w:vAlign w:val="bottom"/>
            <w:gridSpan w:val="5"/>
          </w:tcPr>
          <w:p>
            <w:pPr>
              <w:spacing w:after="0"/>
              <w:rPr>
                <w:sz w:val="19"/>
                <w:szCs w:val="19"/>
                <w:color w:val="auto"/>
              </w:rPr>
            </w:pPr>
          </w:p>
        </w:tc>
        <w:tc>
          <w:tcPr>
            <w:tcW w:w="144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8</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Borders>
              <w:bottom w:val="single" w:sz="8" w:color="0000EE"/>
            </w:tcBorders>
            <w:gridSpan w:val="14"/>
          </w:tcPr>
          <w:p>
            <w:pPr>
              <w:spacing w:after="0" w:line="223" w:lineRule="exact"/>
              <w:rPr>
                <w:sz w:val="20"/>
                <w:szCs w:val="20"/>
                <w:color w:val="auto"/>
              </w:rPr>
            </w:pPr>
            <w:r>
              <w:rPr>
                <w:rFonts w:ascii="Times New Roman" w:cs="Times New Roman" w:eastAsia="Times New Roman" w:hAnsi="Times New Roman"/>
                <w:sz w:val="22"/>
                <w:szCs w:val="22"/>
                <w:color w:val="0000EE"/>
                <w:w w:val="97"/>
              </w:rPr>
              <w:t>Notes to Consolidated Financial Statements</w:t>
            </w:r>
          </w:p>
        </w:tc>
        <w:tc>
          <w:tcPr>
            <w:tcW w:w="5100" w:type="dxa"/>
            <w:vAlign w:val="bottom"/>
            <w:gridSpan w:val="4"/>
          </w:tcPr>
          <w:p>
            <w:pPr>
              <w:spacing w:after="0"/>
              <w:rPr>
                <w:sz w:val="19"/>
                <w:szCs w:val="19"/>
                <w:color w:val="auto"/>
              </w:rPr>
            </w:pPr>
          </w:p>
        </w:tc>
        <w:tc>
          <w:tcPr>
            <w:tcW w:w="144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9</w:t>
            </w:r>
          </w:p>
        </w:tc>
      </w:tr>
      <w:tr>
        <w:trPr>
          <w:trHeight w:val="466"/>
        </w:trPr>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rPr>
              <w:t>Item 2.</w:t>
            </w:r>
          </w:p>
        </w:tc>
        <w:tc>
          <w:tcPr>
            <w:tcW w:w="140" w:type="dxa"/>
            <w:vAlign w:val="bottom"/>
            <w:gridSpan w:val="2"/>
          </w:tcPr>
          <w:p>
            <w:pPr>
              <w:spacing w:after="0"/>
              <w:rPr>
                <w:sz w:val="24"/>
                <w:szCs w:val="24"/>
                <w:color w:val="auto"/>
              </w:rPr>
            </w:pPr>
          </w:p>
        </w:tc>
        <w:tc>
          <w:tcPr>
            <w:tcW w:w="8880" w:type="dxa"/>
            <w:vAlign w:val="bottom"/>
            <w:gridSpan w:val="18"/>
          </w:tcPr>
          <w:p>
            <w:pPr>
              <w:spacing w:after="0"/>
              <w:rPr>
                <w:sz w:val="20"/>
                <w:szCs w:val="20"/>
                <w:color w:val="auto"/>
              </w:rPr>
            </w:pPr>
            <w:r>
              <w:rPr>
                <w:rFonts w:ascii="Times New Roman" w:cs="Times New Roman" w:eastAsia="Times New Roman" w:hAnsi="Times New Roman"/>
                <w:sz w:val="22"/>
                <w:szCs w:val="22"/>
                <w:color w:val="0000EE"/>
              </w:rPr>
              <w:t>Management’s Discussion and Analysis of Financial Condition and Results of Operations</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28</w:t>
            </w: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160" w:type="dxa"/>
            <w:vAlign w:val="bottom"/>
            <w:tcBorders>
              <w:top w:val="single" w:sz="8" w:color="0000EE"/>
            </w:tcBorders>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524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w w:val="97"/>
              </w:rPr>
              <w:t>Quantitative and Qualitative Disclosures About Market Risk</w:t>
            </w:r>
          </w:p>
        </w:tc>
        <w:tc>
          <w:tcPr>
            <w:tcW w:w="250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39</w:t>
            </w: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300" w:type="dxa"/>
            <w:vAlign w:val="bottom"/>
            <w:gridSpan w:val="4"/>
          </w:tcPr>
          <w:p>
            <w:pPr>
              <w:spacing w:after="0"/>
              <w:rPr>
                <w:sz w:val="24"/>
                <w:szCs w:val="24"/>
                <w:color w:val="auto"/>
              </w:rPr>
            </w:pPr>
          </w:p>
        </w:tc>
        <w:tc>
          <w:tcPr>
            <w:tcW w:w="21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w w:val="97"/>
              </w:rPr>
              <w:t>Controls and Procedures</w:t>
            </w:r>
          </w:p>
        </w:tc>
        <w:tc>
          <w:tcPr>
            <w:tcW w:w="6760" w:type="dxa"/>
            <w:vAlign w:val="bottom"/>
            <w:gridSpan w:val="12"/>
          </w:tcPr>
          <w:p>
            <w:pPr>
              <w:spacing w:after="0"/>
              <w:rPr>
                <w:sz w:val="24"/>
                <w:szCs w:val="24"/>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39</w:t>
            </w:r>
          </w:p>
        </w:tc>
      </w:tr>
      <w:tr>
        <w:trPr>
          <w:trHeight w:val="466"/>
        </w:trPr>
        <w:tc>
          <w:tcPr>
            <w:tcW w:w="8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2"/>
                <w:szCs w:val="22"/>
                <w:color w:val="0000EE"/>
                <w:w w:val="95"/>
              </w:rPr>
              <w:t>PART II.</w:t>
            </w:r>
          </w:p>
        </w:tc>
        <w:tc>
          <w:tcPr>
            <w:tcW w:w="120" w:type="dxa"/>
            <w:vAlign w:val="bottom"/>
          </w:tcPr>
          <w:p>
            <w:pPr>
              <w:spacing w:after="0"/>
              <w:rPr>
                <w:sz w:val="24"/>
                <w:szCs w:val="24"/>
                <w:color w:val="auto"/>
              </w:rPr>
            </w:pPr>
          </w:p>
        </w:tc>
        <w:tc>
          <w:tcPr>
            <w:tcW w:w="22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22"/>
                <w:szCs w:val="22"/>
                <w:color w:val="0000EE"/>
                <w:w w:val="96"/>
              </w:rPr>
              <w:t>OTHER INFORMATION</w:t>
            </w:r>
          </w:p>
        </w:tc>
        <w:tc>
          <w:tcPr>
            <w:tcW w:w="6620" w:type="dxa"/>
            <w:vAlign w:val="bottom"/>
            <w:gridSpan w:val="11"/>
          </w:tcPr>
          <w:p>
            <w:pPr>
              <w:spacing w:after="0"/>
              <w:rPr>
                <w:sz w:val="24"/>
                <w:szCs w:val="24"/>
                <w:color w:val="auto"/>
              </w:rPr>
            </w:pPr>
          </w:p>
        </w:tc>
        <w:tc>
          <w:tcPr>
            <w:tcW w:w="1440" w:type="dxa"/>
            <w:vAlign w:val="bottom"/>
          </w:tcPr>
          <w:p>
            <w:pPr>
              <w:spacing w:after="0"/>
              <w:rPr>
                <w:sz w:val="24"/>
                <w:szCs w:val="24"/>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300" w:type="dxa"/>
            <w:vAlign w:val="bottom"/>
            <w:gridSpan w:val="4"/>
          </w:tcPr>
          <w:p>
            <w:pPr>
              <w:spacing w:after="0"/>
              <w:rPr>
                <w:sz w:val="24"/>
                <w:szCs w:val="24"/>
                <w:color w:val="auto"/>
              </w:rPr>
            </w:pPr>
          </w:p>
        </w:tc>
        <w:tc>
          <w:tcPr>
            <w:tcW w:w="1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2"/>
                <w:szCs w:val="22"/>
                <w:color w:val="0000EE"/>
                <w:w w:val="96"/>
              </w:rPr>
              <w:t>Legal Proceedings</w:t>
            </w:r>
          </w:p>
        </w:tc>
        <w:tc>
          <w:tcPr>
            <w:tcW w:w="7280" w:type="dxa"/>
            <w:vAlign w:val="bottom"/>
            <w:gridSpan w:val="14"/>
          </w:tcPr>
          <w:p>
            <w:pPr>
              <w:spacing w:after="0"/>
              <w:rPr>
                <w:sz w:val="24"/>
                <w:szCs w:val="24"/>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40</w:t>
            </w:r>
          </w:p>
        </w:tc>
      </w:tr>
      <w:tr>
        <w:trPr>
          <w:trHeight w:val="466"/>
        </w:trPr>
        <w:tc>
          <w:tcPr>
            <w:tcW w:w="7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w w:val="97"/>
              </w:rPr>
              <w:t>Item 1A.</w:t>
            </w:r>
          </w:p>
        </w:tc>
        <w:tc>
          <w:tcPr>
            <w:tcW w:w="140" w:type="dxa"/>
            <w:vAlign w:val="bottom"/>
            <w:gridSpan w:val="2"/>
          </w:tcPr>
          <w:p>
            <w:pPr>
              <w:spacing w:after="0"/>
              <w:rPr>
                <w:sz w:val="24"/>
                <w:szCs w:val="24"/>
                <w:color w:val="auto"/>
              </w:rPr>
            </w:pPr>
          </w:p>
        </w:tc>
        <w:tc>
          <w:tcPr>
            <w:tcW w:w="10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2"/>
                <w:szCs w:val="22"/>
                <w:color w:val="0000EE"/>
                <w:w w:val="95"/>
              </w:rPr>
              <w:t>Risk Factors</w:t>
            </w:r>
          </w:p>
        </w:tc>
        <w:tc>
          <w:tcPr>
            <w:tcW w:w="7800" w:type="dxa"/>
            <w:vAlign w:val="bottom"/>
            <w:gridSpan w:val="16"/>
          </w:tcPr>
          <w:p>
            <w:pPr>
              <w:spacing w:after="0"/>
              <w:rPr>
                <w:sz w:val="24"/>
                <w:szCs w:val="24"/>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40</w:t>
            </w: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300" w:type="dxa"/>
            <w:vAlign w:val="bottom"/>
            <w:gridSpan w:val="4"/>
          </w:tcPr>
          <w:p>
            <w:pPr>
              <w:spacing w:after="0"/>
              <w:rPr>
                <w:sz w:val="24"/>
                <w:szCs w:val="24"/>
                <w:color w:val="auto"/>
              </w:rPr>
            </w:pPr>
          </w:p>
        </w:tc>
        <w:tc>
          <w:tcPr>
            <w:tcW w:w="52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w w:val="97"/>
              </w:rPr>
              <w:t>Unregistered Sales of Equity Securities and Use of Proceeds</w:t>
            </w:r>
          </w:p>
        </w:tc>
        <w:tc>
          <w:tcPr>
            <w:tcW w:w="3660" w:type="dxa"/>
            <w:vAlign w:val="bottom"/>
            <w:gridSpan w:val="3"/>
          </w:tcPr>
          <w:p>
            <w:pPr>
              <w:spacing w:after="0"/>
              <w:rPr>
                <w:sz w:val="24"/>
                <w:szCs w:val="24"/>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40</w:t>
            </w: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300" w:type="dxa"/>
            <w:vAlign w:val="bottom"/>
            <w:gridSpan w:val="4"/>
          </w:tcPr>
          <w:p>
            <w:pPr>
              <w:spacing w:after="0"/>
              <w:rPr>
                <w:sz w:val="24"/>
                <w:szCs w:val="24"/>
                <w:color w:val="auto"/>
              </w:rPr>
            </w:pPr>
          </w:p>
        </w:tc>
        <w:tc>
          <w:tcPr>
            <w:tcW w:w="27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2"/>
                <w:szCs w:val="22"/>
                <w:color w:val="0000EE"/>
                <w:w w:val="97"/>
              </w:rPr>
              <w:t>Defaults upon Senior Securities</w:t>
            </w:r>
          </w:p>
        </w:tc>
        <w:tc>
          <w:tcPr>
            <w:tcW w:w="6140" w:type="dxa"/>
            <w:vAlign w:val="bottom"/>
            <w:gridSpan w:val="8"/>
          </w:tcPr>
          <w:p>
            <w:pPr>
              <w:spacing w:after="0"/>
              <w:rPr>
                <w:sz w:val="24"/>
                <w:szCs w:val="24"/>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40</w:t>
            </w: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300" w:type="dxa"/>
            <w:vAlign w:val="bottom"/>
            <w:gridSpan w:val="4"/>
          </w:tcPr>
          <w:p>
            <w:pPr>
              <w:spacing w:after="0"/>
              <w:rPr>
                <w:sz w:val="24"/>
                <w:szCs w:val="24"/>
                <w:color w:val="auto"/>
              </w:rPr>
            </w:pPr>
          </w:p>
        </w:tc>
        <w:tc>
          <w:tcPr>
            <w:tcW w:w="21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w w:val="97"/>
              </w:rPr>
              <w:t>Mine Safety Disclosures</w:t>
            </w:r>
          </w:p>
        </w:tc>
        <w:tc>
          <w:tcPr>
            <w:tcW w:w="6760" w:type="dxa"/>
            <w:vAlign w:val="bottom"/>
            <w:gridSpan w:val="12"/>
          </w:tcPr>
          <w:p>
            <w:pPr>
              <w:spacing w:after="0"/>
              <w:rPr>
                <w:sz w:val="24"/>
                <w:szCs w:val="24"/>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40</w:t>
            </w: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5.</w:t>
            </w:r>
          </w:p>
        </w:tc>
        <w:tc>
          <w:tcPr>
            <w:tcW w:w="300" w:type="dxa"/>
            <w:vAlign w:val="bottom"/>
            <w:gridSpan w:val="4"/>
          </w:tcPr>
          <w:p>
            <w:pPr>
              <w:spacing w:after="0"/>
              <w:rPr>
                <w:sz w:val="24"/>
                <w:szCs w:val="24"/>
                <w:color w:val="auto"/>
              </w:rPr>
            </w:pPr>
          </w:p>
        </w:tc>
        <w:tc>
          <w:tcPr>
            <w:tcW w:w="8880" w:type="dxa"/>
            <w:vAlign w:val="bottom"/>
            <w:gridSpan w:val="18"/>
          </w:tcPr>
          <w:p>
            <w:pPr>
              <w:spacing w:after="0"/>
              <w:rPr>
                <w:sz w:val="20"/>
                <w:szCs w:val="20"/>
                <w:color w:val="auto"/>
              </w:rPr>
            </w:pPr>
            <w:r>
              <w:rPr>
                <w:rFonts w:ascii="Times New Roman" w:cs="Times New Roman" w:eastAsia="Times New Roman" w:hAnsi="Times New Roman"/>
                <w:sz w:val="22"/>
                <w:szCs w:val="22"/>
                <w:color w:val="0000EE"/>
              </w:rPr>
              <w:t>Other Information</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40</w:t>
            </w: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6.</w:t>
            </w:r>
          </w:p>
        </w:tc>
        <w:tc>
          <w:tcPr>
            <w:tcW w:w="300" w:type="dxa"/>
            <w:vAlign w:val="bottom"/>
            <w:gridSpan w:val="4"/>
          </w:tcPr>
          <w:p>
            <w:pPr>
              <w:spacing w:after="0"/>
              <w:rPr>
                <w:sz w:val="24"/>
                <w:szCs w:val="24"/>
                <w:color w:val="auto"/>
              </w:rPr>
            </w:pPr>
          </w:p>
        </w:tc>
        <w:tc>
          <w:tcPr>
            <w:tcW w:w="7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5"/>
              </w:rPr>
              <w:t>Exhibits</w:t>
            </w:r>
          </w:p>
        </w:tc>
        <w:tc>
          <w:tcPr>
            <w:tcW w:w="840" w:type="dxa"/>
            <w:vAlign w:val="bottom"/>
            <w:tcBorders>
              <w:top w:val="single" w:sz="8" w:color="0000EE"/>
            </w:tcBorders>
            <w:gridSpan w:val="2"/>
          </w:tcPr>
          <w:p>
            <w:pPr>
              <w:spacing w:after="0"/>
              <w:rPr>
                <w:sz w:val="24"/>
                <w:szCs w:val="24"/>
                <w:color w:val="auto"/>
              </w:rPr>
            </w:pPr>
          </w:p>
        </w:tc>
        <w:tc>
          <w:tcPr>
            <w:tcW w:w="7320" w:type="dxa"/>
            <w:vAlign w:val="bottom"/>
            <w:gridSpan w:val="15"/>
          </w:tcPr>
          <w:p>
            <w:pPr>
              <w:spacing w:after="0"/>
              <w:rPr>
                <w:sz w:val="24"/>
                <w:szCs w:val="24"/>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41</w:t>
            </w:r>
          </w:p>
        </w:tc>
      </w:tr>
      <w:tr>
        <w:trPr>
          <w:trHeight w:val="464"/>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gridSpan w:val="15"/>
          </w:tcPr>
          <w:p>
            <w:pPr>
              <w:jc w:val="center"/>
              <w:ind w:left="4092"/>
              <w:spacing w:after="0"/>
              <w:rPr>
                <w:sz w:val="20"/>
                <w:szCs w:val="20"/>
                <w:color w:val="auto"/>
              </w:rPr>
            </w:pPr>
            <w:r>
              <w:rPr>
                <w:rFonts w:ascii="Times New Roman" w:cs="Times New Roman" w:eastAsia="Times New Roman" w:hAnsi="Times New Roman"/>
                <w:sz w:val="22"/>
                <w:szCs w:val="22"/>
                <w:color w:val="auto"/>
                <w:w w:val="90"/>
              </w:rPr>
              <w:t>2</w:t>
            </w: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4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0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14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910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tc>
        <w:tc>
          <w:tcPr>
            <w:tcW w:w="9100" w:type="dxa"/>
            <w:vAlign w:val="bottom"/>
          </w:tcPr>
          <w:p>
            <w:pPr>
              <w:spacing w:after="0"/>
              <w:rPr>
                <w:sz w:val="24"/>
                <w:szCs w:val="24"/>
                <w:color w:val="auto"/>
              </w:rPr>
            </w:pPr>
          </w:p>
        </w:tc>
      </w:tr>
      <w:tr>
        <w:trPr>
          <w:trHeight w:val="40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REX/the Company</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REX American Resources Corporation, and its majority and wholly owned subsidiaries</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NuGen</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NuGen Energy, LLC – REX owns 99.7%</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One Earth</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One Earth Energy, LLC and subsidiaries – REX owns 76.1%</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Big River</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Big River Resources, LLC and subsidiaries – REX owns 10.3%</w:t>
            </w:r>
          </w:p>
        </w:tc>
      </w:tr>
      <w:tr>
        <w:trPr>
          <w:trHeight w:val="41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Terms:</w:t>
            </w:r>
          </w:p>
        </w:tc>
        <w:tc>
          <w:tcPr>
            <w:tcW w:w="9100" w:type="dxa"/>
            <w:vAlign w:val="bottom"/>
          </w:tcPr>
          <w:p>
            <w:pPr>
              <w:spacing w:after="0"/>
              <w:rPr>
                <w:sz w:val="24"/>
                <w:szCs w:val="24"/>
                <w:color w:val="auto"/>
              </w:rPr>
            </w:pPr>
          </w:p>
        </w:tc>
      </w:tr>
      <w:tr>
        <w:trPr>
          <w:trHeight w:val="40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CI</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Carbon Intensity</w:t>
            </w:r>
          </w:p>
        </w:tc>
      </w:tr>
      <w:tr>
        <w:trPr>
          <w:trHeight w:val="229"/>
        </w:trPr>
        <w:tc>
          <w:tcPr>
            <w:tcW w:w="214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CO</w:t>
            </w:r>
            <w:r>
              <w:rPr>
                <w:rFonts w:ascii="Times New Roman" w:cs="Times New Roman" w:eastAsia="Times New Roman" w:hAnsi="Times New Roman"/>
                <w:sz w:val="26"/>
                <w:szCs w:val="26"/>
                <w:color w:val="auto"/>
                <w:vertAlign w:val="subscript"/>
              </w:rPr>
              <w:t>2</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Carbon dioxide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E-10</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Gasoline blended with up to 10% ethanol by volume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E-15</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Gasoline blended with up to 15% ethanol by volume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EACs</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Energy Attribute Certificates</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FEOC</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Entity of Concern</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GHG</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Greenhouse Gas</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IRA</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Inflation Reduction Act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IRC</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IRC Section 45/Section 45</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IRC § 45 - Electricity Produced from Certain Renewable Resources, etc.</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Revenue Service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OBBBA</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One Big Beautiful Bill Act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PHMSA</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Pipeline and Hazardous Materials Safety Administration</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RFS II</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Renewable Fuel Standard II</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RINs</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Renewable Identification Number(s)</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RVOs</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Renewable Volume Obligations</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Section 45Q/45Q</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45Q of the IRC</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Section 45Z/45Z</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45Z of the IRC</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SB</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Illinois Senate Bill</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SAF</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Sustainable Aviation Fuel</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SRE(s)</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 Refinery Exemption(s)</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USDA</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USMCA</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States-Mexico-Canada Agreement</w:t>
            </w:r>
          </w:p>
        </w:tc>
      </w:tr>
      <w:tr>
        <w:trPr>
          <w:trHeight w:val="419"/>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and General Business Terms:</w:t>
            </w:r>
          </w:p>
        </w:tc>
      </w:tr>
      <w:tr>
        <w:trPr>
          <w:trHeight w:val="39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ASC 280</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ASC 280, </w:t>
            </w:r>
            <w:r>
              <w:rPr>
                <w:rFonts w:ascii="Times New Roman" w:cs="Times New Roman" w:eastAsia="Times New Roman" w:hAnsi="Times New Roman"/>
                <w:sz w:val="18"/>
                <w:szCs w:val="18"/>
                <w:i w:val="1"/>
                <w:iCs w:val="1"/>
                <w:color w:val="auto"/>
              </w:rPr>
              <w:t>“Segment Reporting”</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ASC 323</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ASC 323, </w:t>
            </w:r>
            <w:r>
              <w:rPr>
                <w:rFonts w:ascii="Times New Roman" w:cs="Times New Roman" w:eastAsia="Times New Roman" w:hAnsi="Times New Roman"/>
                <w:sz w:val="18"/>
                <w:szCs w:val="18"/>
                <w:i w:val="1"/>
                <w:iCs w:val="1"/>
                <w:color w:val="auto"/>
              </w:rPr>
              <w:t>“Investments-Equity Method and Joint Ventures”</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ASC 815</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ASC 820</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TSR</w:t>
            </w:r>
          </w:p>
        </w:tc>
        <w:tc>
          <w:tcPr>
            <w:tcW w:w="9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 return</w:t>
            </w:r>
          </w:p>
        </w:tc>
      </w:tr>
      <w:tr>
        <w:trPr>
          <w:trHeight w:val="444"/>
        </w:trPr>
        <w:tc>
          <w:tcPr>
            <w:tcW w:w="2140" w:type="dxa"/>
            <w:vAlign w:val="bottom"/>
          </w:tcPr>
          <w:p>
            <w:pPr>
              <w:spacing w:after="0"/>
              <w:rPr>
                <w:sz w:val="24"/>
                <w:szCs w:val="24"/>
                <w:color w:val="auto"/>
              </w:rPr>
            </w:pPr>
          </w:p>
        </w:tc>
        <w:tc>
          <w:tcPr>
            <w:tcW w:w="9100" w:type="dxa"/>
            <w:vAlign w:val="bottom"/>
          </w:tcPr>
          <w:p>
            <w:pPr>
              <w:ind w:left="3440"/>
              <w:spacing w:after="0"/>
              <w:rPr>
                <w:sz w:val="20"/>
                <w:szCs w:val="20"/>
                <w:color w:val="auto"/>
              </w:rPr>
            </w:pPr>
            <w:r>
              <w:rPr>
                <w:rFonts w:ascii="Times New Roman" w:cs="Times New Roman" w:eastAsia="Times New Roman" w:hAnsi="Times New Roman"/>
                <w:sz w:val="22"/>
                <w:szCs w:val="22"/>
                <w:color w:val="auto"/>
              </w:rPr>
              <w:t>3</w:t>
            </w:r>
          </w:p>
        </w:tc>
      </w:tr>
      <w:tr>
        <w:trPr>
          <w:trHeight w:val="238"/>
        </w:trPr>
        <w:tc>
          <w:tcPr>
            <w:tcW w:w="2140" w:type="dxa"/>
            <w:vAlign w:val="bottom"/>
            <w:tcBorders>
              <w:bottom w:val="single" w:sz="8" w:color="C0C0C0"/>
            </w:tcBorders>
          </w:tcPr>
          <w:p>
            <w:pPr>
              <w:spacing w:after="0"/>
              <w:rPr>
                <w:sz w:val="20"/>
                <w:szCs w:val="20"/>
                <w:color w:val="auto"/>
              </w:rPr>
            </w:pPr>
          </w:p>
        </w:tc>
        <w:tc>
          <w:tcPr>
            <w:tcW w:w="91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ethanol plant, changes in the international, national or regional economies, the impact of inflation, the ability to attract employees, weather, results of income tax audits, changes in income tax laws or regulations such as the OBBBA, the impact of U.S. foreign trade policy and tariffs, changes in foreign currency exchange rates, the effects of terrorism, wars and other conflicts, and the effect of pandemics on the Company’s business operations, including impacts on supplies, demand, personnel and other factors.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2026 (File No. 001-09097).</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2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E5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117,668</w:t>
            </w:r>
          </w:p>
        </w:tc>
        <w:tc>
          <w:tcPr>
            <w:tcW w:w="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188,734</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246,640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187,048</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21,597</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14,682</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28,422</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10,731</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12,374</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16,568</w:t>
            </w:r>
          </w:p>
        </w:tc>
        <w:tc>
          <w:tcPr>
            <w:tcW w:w="0" w:type="dxa"/>
            <w:vAlign w:val="bottom"/>
          </w:tcPr>
          <w:p>
            <w:pPr>
              <w:spacing w:after="0"/>
              <w:rPr>
                <w:sz w:val="1"/>
                <w:szCs w:val="1"/>
                <w:color w:val="auto"/>
              </w:rPr>
            </w:pPr>
          </w:p>
        </w:tc>
      </w:tr>
      <w:tr>
        <w:trPr>
          <w:trHeight w:val="209"/>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E5FFFF"/>
          </w:tcPr>
          <w:p>
            <w:pPr>
              <w:spacing w:after="0"/>
              <w:rPr>
                <w:sz w:val="18"/>
                <w:szCs w:val="18"/>
                <w:color w:val="auto"/>
              </w:rPr>
            </w:pPr>
          </w:p>
        </w:tc>
        <w:tc>
          <w:tcPr>
            <w:tcW w:w="10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441,533</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447,828</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282,041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272,029</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15,842</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17,594</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17,558</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9,850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4,963</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37,759</w:t>
            </w:r>
          </w:p>
        </w:tc>
        <w:tc>
          <w:tcPr>
            <w:tcW w:w="0" w:type="dxa"/>
            <w:vAlign w:val="bottom"/>
          </w:tcPr>
          <w:p>
            <w:pPr>
              <w:spacing w:after="0"/>
              <w:rPr>
                <w:sz w:val="1"/>
                <w:szCs w:val="1"/>
                <w:color w:val="auto"/>
              </w:rPr>
            </w:pPr>
          </w:p>
        </w:tc>
      </w:tr>
      <w:tr>
        <w:trPr>
          <w:trHeight w:val="223"/>
        </w:trPr>
        <w:tc>
          <w:tcPr>
            <w:tcW w:w="822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807,674</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797,731</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 trade (includes $1,486 and $1,195 with related parties at April 30, 2026 and January</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 2026, respectively)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31,073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38,400</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6,980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6,921</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26,793</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29,587</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65,315</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9,423</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11,148</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REX shareholders’ equity:</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 in capital</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628,769</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610,317</w:t>
            </w:r>
          </w:p>
        </w:tc>
        <w:tc>
          <w:tcPr>
            <w:tcW w:w="0" w:type="dxa"/>
            <w:vAlign w:val="bottom"/>
          </w:tcPr>
          <w:p>
            <w:pPr>
              <w:spacing w:after="0"/>
              <w:rPr>
                <w:sz w:val="1"/>
                <w:szCs w:val="1"/>
                <w:color w:val="auto"/>
              </w:rPr>
            </w:pPr>
          </w:p>
        </w:tc>
      </w:tr>
      <w:tr>
        <w:trPr>
          <w:trHeight w:val="210"/>
        </w:trPr>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shd w:val="clear" w:color="auto" w:fill="E5FFFF"/>
          </w:tcPr>
          <w:p>
            <w:pPr>
              <w:spacing w:after="0"/>
              <w:rPr>
                <w:sz w:val="19"/>
                <w:szCs w:val="19"/>
                <w:color w:val="auto"/>
              </w:rPr>
            </w:pPr>
          </w:p>
        </w:tc>
        <w:tc>
          <w:tcPr>
            <w:tcW w:w="12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94,519</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91,293</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723,754</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702,005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807,674</w:t>
            </w:r>
          </w:p>
        </w:tc>
        <w:tc>
          <w:tcPr>
            <w:tcW w:w="20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797,731</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 w:name="page6"/>
    <w:bookmarkEnd w:id="5"/>
    <w:p>
      <w:pPr>
        <w:ind w:right="552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Operations 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8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29"/>
        </w:trPr>
        <w:tc>
          <w:tcPr>
            <w:tcW w:w="8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260" w:type="dxa"/>
            <w:vAlign w:val="bottom"/>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156,499</w:t>
            </w:r>
          </w:p>
        </w:tc>
        <w:tc>
          <w:tcPr>
            <w:tcW w:w="50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158,340</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Production tax credit income</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7,549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22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$18,840 and $24,849 with related parties for the three months ended April 30, 2026</w:t>
            </w:r>
          </w:p>
        </w:tc>
        <w:tc>
          <w:tcPr>
            <w:tcW w:w="26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48"/>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and 2025, respectively.)</w:t>
            </w:r>
          </w:p>
        </w:tc>
        <w:tc>
          <w:tcPr>
            <w:tcW w:w="26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134,977</w:t>
            </w:r>
          </w:p>
        </w:tc>
        <w:tc>
          <w:tcPr>
            <w:tcW w:w="2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80" w:type="dxa"/>
            <w:vAlign w:val="bottom"/>
            <w:tcBorders>
              <w:bottom w:val="single" w:sz="8" w:color="auto"/>
            </w:tcBorders>
            <w:shd w:val="clear" w:color="auto" w:fill="E5FFFF"/>
          </w:tcPr>
          <w:p>
            <w:pPr>
              <w:spacing w:after="0"/>
              <w:rPr>
                <w:sz w:val="21"/>
                <w:szCs w:val="21"/>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143,998</w:t>
            </w:r>
          </w:p>
        </w:tc>
        <w:tc>
          <w:tcPr>
            <w:tcW w:w="100" w:type="dxa"/>
            <w:vAlign w:val="bottom"/>
            <w:shd w:val="clear" w:color="auto" w:fill="E5FFFF"/>
          </w:tcPr>
          <w:p>
            <w:pPr>
              <w:spacing w:after="0"/>
              <w:rPr>
                <w:sz w:val="21"/>
                <w:szCs w:val="21"/>
                <w:color w:val="auto"/>
              </w:rPr>
            </w:pPr>
          </w:p>
        </w:tc>
      </w:tr>
      <w:tr>
        <w:trPr>
          <w:trHeight w:val="42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29,071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14,342</w:t>
            </w:r>
          </w:p>
        </w:tc>
      </w:tr>
      <w:tr>
        <w:trPr>
          <w:trHeight w:val="216"/>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(9,728)</w:t>
            </w:r>
          </w:p>
        </w:tc>
        <w:tc>
          <w:tcPr>
            <w:tcW w:w="2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(5,944)</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w:t>
            </w:r>
          </w:p>
        </w:tc>
      </w:tr>
      <w:tr>
        <w:trPr>
          <w:trHeight w:val="229"/>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60" w:type="dxa"/>
            <w:vAlign w:val="bottom"/>
            <w:tcBorders>
              <w:bottom w:val="single" w:sz="8" w:color="auto"/>
            </w:tcBorders>
            <w:shd w:val="clear" w:color="auto" w:fill="E5FFFF"/>
          </w:tcPr>
          <w:p>
            <w:pPr>
              <w:spacing w:after="0"/>
              <w:rPr>
                <w:sz w:val="19"/>
                <w:szCs w:val="19"/>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280" w:type="dxa"/>
            <w:vAlign w:val="bottom"/>
            <w:tcBorders>
              <w:bottom w:val="single" w:sz="8" w:color="auto"/>
            </w:tcBorders>
            <w:shd w:val="clear" w:color="auto" w:fill="E5FFFF"/>
          </w:tcPr>
          <w:p>
            <w:pPr>
              <w:spacing w:after="0"/>
              <w:rPr>
                <w:sz w:val="19"/>
                <w:szCs w:val="19"/>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E5FF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40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income attributable to REX common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26,115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w:t>
            </w:r>
          </w:p>
        </w:tc>
      </w:tr>
      <w:tr>
        <w:trPr>
          <w:trHeight w:val="234"/>
        </w:trPr>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421"/>
        </w:trPr>
        <w:tc>
          <w:tcPr>
            <w:tcW w:w="40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21,678</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w:t>
            </w:r>
          </w:p>
        </w:tc>
      </w:tr>
      <w:tr>
        <w:trPr>
          <w:trHeight w:val="234"/>
        </w:trPr>
        <w:tc>
          <w:tcPr>
            <w:tcW w:w="40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(3,226)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3"/>
        </w:trPr>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40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420" w:type="dxa"/>
            <w:vAlign w:val="bottom"/>
            <w:tcBorders>
              <w:bottom w:val="single" w:sz="8" w:color="auto"/>
            </w:tcBorders>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33,116</w:t>
            </w:r>
          </w:p>
        </w:tc>
        <w:tc>
          <w:tcPr>
            <w:tcW w:w="200" w:type="dxa"/>
            <w:vAlign w:val="bottom"/>
            <w:tcBorders>
              <w:bottom w:val="single" w:sz="8" w:color="E5FFFF"/>
            </w:tcBorders>
            <w:shd w:val="clear" w:color="auto" w:fill="E5FFFF"/>
          </w:tcPr>
          <w:p>
            <w:pPr>
              <w:spacing w:after="0"/>
              <w:rPr>
                <w:sz w:val="21"/>
                <w:szCs w:val="21"/>
                <w:color w:val="auto"/>
              </w:rPr>
            </w:pPr>
          </w:p>
        </w:tc>
        <w:tc>
          <w:tcPr>
            <w:tcW w:w="220" w:type="dxa"/>
            <w:vAlign w:val="bottom"/>
            <w:tcBorders>
              <w:bottom w:val="single" w:sz="8" w:color="E5FFFF"/>
            </w:tcBorders>
            <w:shd w:val="clear" w:color="auto" w:fill="E5FFFF"/>
          </w:tcPr>
          <w:p>
            <w:pPr>
              <w:spacing w:after="0"/>
              <w:rPr>
                <w:sz w:val="21"/>
                <w:szCs w:val="21"/>
                <w:color w:val="auto"/>
              </w:rPr>
            </w:pPr>
          </w:p>
        </w:tc>
        <w:tc>
          <w:tcPr>
            <w:tcW w:w="420" w:type="dxa"/>
            <w:vAlign w:val="bottom"/>
            <w:tcBorders>
              <w:bottom w:val="single" w:sz="8" w:color="auto"/>
            </w:tcBorders>
            <w:shd w:val="clear" w:color="auto" w:fill="E5FFFF"/>
          </w:tcPr>
          <w:p>
            <w:pPr>
              <w:spacing w:after="0"/>
              <w:rPr>
                <w:sz w:val="21"/>
                <w:szCs w:val="21"/>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33,878</w:t>
            </w:r>
          </w:p>
        </w:tc>
        <w:tc>
          <w:tcPr>
            <w:tcW w:w="100" w:type="dxa"/>
            <w:vAlign w:val="bottom"/>
            <w:tcBorders>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income per share attributable to REX common shareholders</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20" w:type="dxa"/>
            <w:vAlign w:val="bottom"/>
            <w:vMerge w:val="continue"/>
          </w:tcPr>
          <w:p>
            <w:pPr>
              <w:spacing w:after="0"/>
              <w:rPr>
                <w:sz w:val="24"/>
                <w:szCs w:val="24"/>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0.56</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220" w:type="dxa"/>
            <w:vAlign w:val="bottom"/>
          </w:tcPr>
          <w:p>
            <w:pPr>
              <w:jc w:val="right"/>
              <w:ind w:right="2446"/>
              <w:spacing w:after="0"/>
              <w:rPr>
                <w:sz w:val="20"/>
                <w:szCs w:val="20"/>
                <w:color w:val="auto"/>
              </w:rPr>
            </w:pPr>
            <w:r>
              <w:rPr>
                <w:rFonts w:ascii="Times New Roman" w:cs="Times New Roman" w:eastAsia="Times New Roman" w:hAnsi="Times New Roman"/>
                <w:sz w:val="22"/>
                <w:szCs w:val="22"/>
                <w:color w:val="auto"/>
              </w:rPr>
              <w:t>6</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2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April 30,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color w:val="auto"/>
              </w:rPr>
              <w:t>REX Shareholders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3820" w:type="dxa"/>
            <w:vAlign w:val="bottom"/>
          </w:tcPr>
          <w:p>
            <w:pPr>
              <w:spacing w:after="0"/>
              <w:rPr>
                <w:sz w:val="24"/>
                <w:szCs w:val="24"/>
                <w:color w:val="auto"/>
              </w:rPr>
            </w:pPr>
          </w:p>
        </w:tc>
        <w:tc>
          <w:tcPr>
            <w:tcW w:w="23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8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right"/>
              <w:ind w:right="72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3"/>
                <w:szCs w:val="13"/>
                <w:color w:val="auto"/>
              </w:rPr>
            </w:pPr>
          </w:p>
        </w:tc>
        <w:tc>
          <w:tcPr>
            <w:tcW w:w="76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2026</w:t>
            </w:r>
          </w:p>
        </w:tc>
        <w:tc>
          <w:tcPr>
            <w:tcW w:w="8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32,938</w:t>
            </w:r>
          </w:p>
        </w:tc>
        <w:tc>
          <w:tcPr>
            <w:tcW w:w="560" w:type="dxa"/>
            <w:vAlign w:val="bottom"/>
            <w:gridSpan w:val="2"/>
            <w:shd w:val="clear" w:color="auto" w:fill="E5FF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340" w:type="dxa"/>
            <w:vAlign w:val="bottom"/>
            <w:gridSpan w:val="2"/>
            <w:shd w:val="clear" w:color="auto" w:fill="E5FF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E5FF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E5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610,317</w:t>
            </w:r>
          </w:p>
        </w:tc>
        <w:tc>
          <w:tcPr>
            <w:tcW w:w="30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E5FF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91,293</w:t>
            </w:r>
          </w:p>
        </w:tc>
        <w:tc>
          <w:tcPr>
            <w:tcW w:w="12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702,005</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4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18,452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3,226</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2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stock-based compensation</w:t>
            </w:r>
          </w:p>
        </w:tc>
        <w:tc>
          <w:tcPr>
            <w:tcW w:w="80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4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700" w:type="dxa"/>
            <w:vAlign w:val="bottom"/>
            <w:shd w:val="clear" w:color="auto" w:fill="E5FFFF"/>
          </w:tcPr>
          <w:p>
            <w:pPr>
              <w:spacing w:after="0"/>
              <w:rPr>
                <w:sz w:val="10"/>
                <w:szCs w:val="10"/>
                <w:color w:val="auto"/>
              </w:rPr>
            </w:pPr>
          </w:p>
        </w:tc>
        <w:tc>
          <w:tcPr>
            <w:tcW w:w="20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1040" w:type="dxa"/>
            <w:vAlign w:val="bottom"/>
            <w:shd w:val="clear" w:color="auto" w:fill="E5FFFF"/>
          </w:tcPr>
          <w:p>
            <w:pPr>
              <w:spacing w:after="0"/>
              <w:rPr>
                <w:sz w:val="10"/>
                <w:szCs w:val="10"/>
                <w:color w:val="auto"/>
              </w:rPr>
            </w:pPr>
          </w:p>
        </w:tc>
        <w:tc>
          <w:tcPr>
            <w:tcW w:w="4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82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expense</w:t>
            </w: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9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14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E5FFFF"/>
          </w:tcPr>
          <w:p>
            <w:pPr>
              <w:spacing w:after="0"/>
              <w:rPr>
                <w:sz w:val="16"/>
                <w:szCs w:val="16"/>
                <w:color w:val="auto"/>
              </w:rPr>
            </w:pPr>
          </w:p>
        </w:tc>
        <w:tc>
          <w:tcPr>
            <w:tcW w:w="9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46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FFFF"/>
          </w:tcPr>
          <w:p>
            <w:pPr>
              <w:spacing w:after="0"/>
              <w:rPr>
                <w:sz w:val="16"/>
                <w:szCs w:val="16"/>
                <w:color w:val="auto"/>
              </w:rPr>
            </w:pP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April 30, 2026</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820" w:type="dxa"/>
            <w:vAlign w:val="bottom"/>
            <w:vMerge w:val="continue"/>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32,938</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628,769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94,519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723,754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2025</w:t>
            </w:r>
          </w:p>
        </w:tc>
        <w:tc>
          <w:tcPr>
            <w:tcW w:w="82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34,389</w:t>
            </w:r>
          </w:p>
        </w:tc>
        <w:tc>
          <w:tcPr>
            <w:tcW w:w="560" w:type="dxa"/>
            <w:vAlign w:val="bottom"/>
            <w:gridSpan w:val="2"/>
            <w:shd w:val="clear" w:color="auto" w:fill="E5FF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340" w:type="dxa"/>
            <w:vAlign w:val="bottom"/>
            <w:gridSpan w:val="2"/>
            <w:shd w:val="clear" w:color="auto" w:fill="E5FF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E5FF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E5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559,993</w:t>
            </w:r>
          </w:p>
        </w:tc>
        <w:tc>
          <w:tcPr>
            <w:tcW w:w="30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E5FF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83,265</w:t>
            </w:r>
          </w:p>
        </w:tc>
        <w:tc>
          <w:tcPr>
            <w:tcW w:w="12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643,602</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4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8,678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1,994</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Stock repurchases</w:t>
            </w: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(1,645)</w:t>
            </w:r>
          </w:p>
        </w:tc>
        <w:tc>
          <w:tcPr>
            <w:tcW w:w="44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9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4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9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4"/>
                <w:szCs w:val="14"/>
                <w:color w:val="auto"/>
              </w:rPr>
              <w:t>(32,711)</w:t>
            </w:r>
          </w:p>
        </w:tc>
        <w:tc>
          <w:tcPr>
            <w:tcW w:w="22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1040" w:type="dxa"/>
            <w:vAlign w:val="bottom"/>
            <w:shd w:val="clear" w:color="auto" w:fill="E5FFFF"/>
          </w:tcPr>
          <w:p>
            <w:pPr>
              <w:spacing w:after="0"/>
              <w:rPr>
                <w:sz w:val="14"/>
                <w:szCs w:val="14"/>
                <w:color w:val="auto"/>
              </w:rPr>
            </w:pPr>
          </w:p>
        </w:tc>
        <w:tc>
          <w:tcPr>
            <w:tcW w:w="4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(32,727)</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(2,005)</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(2,005)</w:t>
            </w:r>
          </w:p>
        </w:tc>
        <w:tc>
          <w:tcPr>
            <w:tcW w:w="0" w:type="dxa"/>
            <w:vAlign w:val="bottom"/>
          </w:tcPr>
          <w:p>
            <w:pPr>
              <w:spacing w:after="0"/>
              <w:rPr>
                <w:sz w:val="1"/>
                <w:szCs w:val="1"/>
                <w:color w:val="auto"/>
              </w:rPr>
            </w:pPr>
          </w:p>
        </w:tc>
      </w:tr>
      <w:tr>
        <w:trPr>
          <w:trHeight w:val="145"/>
        </w:trPr>
        <w:tc>
          <w:tcPr>
            <w:tcW w:w="3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2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stock-based compensation</w:t>
            </w:r>
          </w:p>
        </w:tc>
        <w:tc>
          <w:tcPr>
            <w:tcW w:w="800" w:type="dxa"/>
            <w:vAlign w:val="bottom"/>
            <w:shd w:val="clear" w:color="auto" w:fill="E5FFFF"/>
          </w:tcPr>
          <w:p>
            <w:pPr>
              <w:spacing w:after="0"/>
              <w:rPr>
                <w:sz w:val="10"/>
                <w:szCs w:val="10"/>
                <w:color w:val="auto"/>
              </w:rPr>
            </w:pPr>
          </w:p>
        </w:tc>
        <w:tc>
          <w:tcPr>
            <w:tcW w:w="20" w:type="dxa"/>
            <w:vAlign w:val="bottom"/>
            <w:shd w:val="clear" w:color="auto" w:fill="E5FFFF"/>
          </w:tcPr>
          <w:p>
            <w:pPr>
              <w:spacing w:after="0"/>
              <w:rPr>
                <w:sz w:val="10"/>
                <w:szCs w:val="10"/>
                <w:color w:val="auto"/>
              </w:rPr>
            </w:pPr>
          </w:p>
        </w:tc>
        <w:tc>
          <w:tcPr>
            <w:tcW w:w="4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24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4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700" w:type="dxa"/>
            <w:vAlign w:val="bottom"/>
            <w:shd w:val="clear" w:color="auto" w:fill="E5FFFF"/>
          </w:tcPr>
          <w:p>
            <w:pPr>
              <w:spacing w:after="0"/>
              <w:rPr>
                <w:sz w:val="10"/>
                <w:szCs w:val="10"/>
                <w:color w:val="auto"/>
              </w:rPr>
            </w:pPr>
          </w:p>
        </w:tc>
        <w:tc>
          <w:tcPr>
            <w:tcW w:w="200" w:type="dxa"/>
            <w:vAlign w:val="bottom"/>
            <w:shd w:val="clear" w:color="auto" w:fill="E5FFFF"/>
          </w:tcPr>
          <w:p>
            <w:pPr>
              <w:spacing w:after="0"/>
              <w:rPr>
                <w:sz w:val="10"/>
                <w:szCs w:val="10"/>
                <w:color w:val="auto"/>
              </w:rPr>
            </w:pPr>
          </w:p>
        </w:tc>
        <w:tc>
          <w:tcPr>
            <w:tcW w:w="22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1040" w:type="dxa"/>
            <w:vAlign w:val="bottom"/>
            <w:shd w:val="clear" w:color="auto" w:fill="E5FFFF"/>
          </w:tcPr>
          <w:p>
            <w:pPr>
              <w:spacing w:after="0"/>
              <w:rPr>
                <w:sz w:val="10"/>
                <w:szCs w:val="10"/>
                <w:color w:val="auto"/>
              </w:rPr>
            </w:pPr>
          </w:p>
        </w:tc>
        <w:tc>
          <w:tcPr>
            <w:tcW w:w="42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82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expense</w:t>
            </w: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200</w:t>
            </w:r>
          </w:p>
        </w:tc>
        <w:tc>
          <w:tcPr>
            <w:tcW w:w="4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92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14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5FFFF"/>
          </w:tcPr>
          <w:p>
            <w:pPr>
              <w:spacing w:after="0"/>
              <w:rPr>
                <w:sz w:val="16"/>
                <w:szCs w:val="16"/>
                <w:color w:val="auto"/>
              </w:rPr>
            </w:pPr>
          </w:p>
        </w:tc>
        <w:tc>
          <w:tcPr>
            <w:tcW w:w="9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4"/>
                <w:szCs w:val="14"/>
                <w:color w:val="auto"/>
              </w:rPr>
              <w:t>93</w:t>
            </w:r>
          </w:p>
        </w:tc>
        <w:tc>
          <w:tcPr>
            <w:tcW w:w="2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46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5FFFF"/>
          </w:tcPr>
          <w:p>
            <w:pPr>
              <w:spacing w:after="0"/>
              <w:rPr>
                <w:sz w:val="16"/>
                <w:szCs w:val="16"/>
                <w:color w:val="auto"/>
              </w:rPr>
            </w:pP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April 30, 2025</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820" w:type="dxa"/>
            <w:vAlign w:val="bottom"/>
            <w:vMerge w:val="continue"/>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32,944</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536,053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83,254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619,636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7" w:name="page8"/>
    <w:bookmarkEnd w:id="7"/>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Cash Flows 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4"/>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20" w:type="dxa"/>
            <w:vAlign w:val="bottom"/>
            <w:tcBorders>
              <w:bottom w:val="single" w:sz="8" w:color="E5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21,678</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10,672</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4,483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1,752</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1,552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2,363</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6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(3,566)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(1,740)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 – net</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(4,879)</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(6,915)</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(6,465)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1,876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(1,803)</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1,643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(8,596)</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(8,852)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taxes payable</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9"/>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shd w:val="clear" w:color="auto" w:fill="E5FFFF"/>
          </w:tcPr>
          <w:p>
            <w:pPr>
              <w:spacing w:after="0"/>
              <w:rPr>
                <w:sz w:val="19"/>
                <w:szCs w:val="19"/>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(8,616)</w:t>
            </w:r>
          </w:p>
        </w:tc>
        <w:tc>
          <w:tcPr>
            <w:tcW w:w="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9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(3,805)</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4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(11,639)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(91,567)</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6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(41,419)</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real estate and property and equipment</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9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82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(68,915)</w:t>
            </w:r>
          </w:p>
        </w:tc>
        <w:tc>
          <w:tcPr>
            <w:tcW w:w="4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Treasury stock acquired</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6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(32,670)</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Principal paid on finance lease liabilities</w:t>
            </w:r>
          </w:p>
        </w:tc>
        <w:tc>
          <w:tcPr>
            <w:tcW w:w="260" w:type="dxa"/>
            <w:vAlign w:val="bottom"/>
            <w:shd w:val="clear" w:color="auto" w:fill="E5FFFF"/>
          </w:tcPr>
          <w:p>
            <w:pPr>
              <w:spacing w:after="0"/>
              <w:rPr>
                <w:sz w:val="19"/>
                <w:szCs w:val="19"/>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9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(71,066)</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6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(36,342)</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188,734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196,255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117,668</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159,913</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investing activities – Accrued capital expenditures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220" w:type="dxa"/>
            <w:vAlign w:val="bottom"/>
            <w:vMerge w:val="continue"/>
          </w:tcPr>
          <w:p>
            <w:pPr>
              <w:spacing w:after="0"/>
              <w:rPr>
                <w:sz w:val="24"/>
                <w:szCs w:val="24"/>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7,809</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20" w:type="dxa"/>
            <w:vAlign w:val="bottom"/>
            <w:tcBorders>
              <w:top w:val="single" w:sz="8" w:color="E5FFFF"/>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Non-cash investing activities – Capital additions transferred from prepaid expenses</w:t>
            </w: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financing activities – Stock awards accrued</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2,291</w:t>
            </w:r>
          </w:p>
        </w:tc>
        <w:tc>
          <w:tcPr>
            <w:tcW w:w="420" w:type="dxa"/>
            <w:vAlign w:val="bottom"/>
            <w:tcBorders>
              <w:bottom w:val="single" w:sz="8" w:color="E5FFFF"/>
            </w:tcBorders>
            <w:vMerge w:val="continue"/>
          </w:tcPr>
          <w:p>
            <w:pPr>
              <w:spacing w:after="0"/>
              <w:rPr>
                <w:sz w:val="20"/>
                <w:szCs w:val="20"/>
                <w:color w:val="auto"/>
              </w:rPr>
            </w:pPr>
          </w:p>
        </w:tc>
        <w:tc>
          <w:tcPr>
            <w:tcW w:w="2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E5FF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22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Non-cash financing activities – Stock repurchases accrued</w:t>
            </w: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financing activities – Excise tax on stock repurchases accrued</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E5FFFF"/>
            </w:tcBorders>
            <w:vMerge w:val="continue"/>
          </w:tcPr>
          <w:p>
            <w:pPr>
              <w:spacing w:after="0"/>
              <w:rPr>
                <w:sz w:val="20"/>
                <w:szCs w:val="20"/>
                <w:color w:val="auto"/>
              </w:rPr>
            </w:pPr>
          </w:p>
        </w:tc>
        <w:tc>
          <w:tcPr>
            <w:tcW w:w="2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E5FF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Operating right-of-use assets acquired and liabilities incurred upon lease commencement</w:t>
            </w: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3,007</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right-of-use assets acquired and liabilities incurred upon lease commencement</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3,381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UNAUDITED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April 30,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w:t>
      </w:r>
      <w:r>
        <w:rPr>
          <w:rFonts w:ascii="Times New Roman" w:cs="Times New Roman" w:eastAsia="Times New Roman" w:hAnsi="Times New Roman"/>
          <w:sz w:val="22"/>
          <w:szCs w:val="22"/>
          <w:b w:val="1"/>
          <w:bCs w:val="1"/>
          <w:i w:val="1"/>
          <w:iCs w:val="1"/>
          <w:color w:val="auto"/>
        </w:rPr>
        <w:t>Consolidated Financial Statements</w:t>
      </w:r>
    </w:p>
    <w:p>
      <w:pPr>
        <w:spacing w:after="0" w:line="239"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References to the Company – References to “REX” or the “Company” in the consolidated financial statements and in these notes to the consolidated financial statements refer to REX American Resources Corporation, a Delaware corporation, and its majority and wholly owned subsidiaries.</w:t>
      </w:r>
    </w:p>
    <w:p>
      <w:pPr>
        <w:spacing w:after="0" w:line="20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The consolidated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2026 included in these financial statements has been derived from the audited consolidated financial statements included in the Company’s Annual Report on Form 10-K for the year ended January 31, 2026 (fiscal year 2025). These unaudited consolidated financial statements should be read in conjunction with the consolidated financial statements and the notes thereto included in the Company’s Annual Report on Form 10-K for the year ended January 31, 2026. The results of operations for the interim periods are not necessarily indicative of the results to be expected for the year.</w:t>
      </w:r>
    </w:p>
    <w:p>
      <w:pPr>
        <w:spacing w:after="0" w:line="20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Basis of Consolidation </w:t>
      </w:r>
      <w:r>
        <w:rPr>
          <w:rFonts w:ascii="Times New Roman" w:cs="Times New Roman" w:eastAsia="Times New Roman" w:hAnsi="Times New Roman"/>
          <w:sz w:val="21"/>
          <w:szCs w:val="21"/>
          <w:color w:val="auto"/>
        </w:rPr>
        <w:t>– The consolidated financial statements in this report include the operating results and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position of the Company. All intercompany balances and transactions have been eliminated. The Company consolidates the results of its wholly owned and majority owned subsidiaries. The Company includes the results of operations of One Earth in its Consolidated Statements of Operations on a delayed basis of one month as One Earth has a fiscal year end of December 31.</w:t>
      </w:r>
    </w:p>
    <w:p>
      <w:pPr>
        <w:spacing w:after="0" w:line="185" w:lineRule="exact"/>
        <w:rPr>
          <w:sz w:val="20"/>
          <w:szCs w:val="20"/>
          <w:color w:val="auto"/>
        </w:rPr>
      </w:pPr>
    </w:p>
    <w:p>
      <w:pPr>
        <w:jc w:val="both"/>
        <w:ind w:right="16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Common Stock </w:t>
      </w:r>
      <w:r>
        <w:rPr>
          <w:rFonts w:ascii="Times New Roman" w:cs="Times New Roman" w:eastAsia="Times New Roman" w:hAnsi="Times New Roman"/>
          <w:sz w:val="22"/>
          <w:szCs w:val="22"/>
          <w:color w:val="auto"/>
        </w:rPr>
        <w:t>– On May 28, 2026, shareholders adopted an amendment to the Certificate of Incorporation to increase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authorized common stock from 45,000,000 shares to 90,000,000 shares, which was then filed with the Secretary of State of Delaware.</w:t>
      </w:r>
    </w:p>
    <w:p>
      <w:pPr>
        <w:spacing w:after="0" w:line="194"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Stock Split </w:t>
      </w:r>
      <w:r>
        <w:rPr>
          <w:rFonts w:ascii="Times New Roman" w:cs="Times New Roman" w:eastAsia="Times New Roman" w:hAnsi="Times New Roman"/>
          <w:sz w:val="22"/>
          <w:szCs w:val="22"/>
          <w:color w:val="auto"/>
        </w:rPr>
        <w:t>– On August 26, 2025, the Board of Directors of the Company adopted resolutions declaring a two-for-one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split of the Company’s Common Stock to be effectuated in the form of a 100% stock dividend, payable on September 15, 2025 to shareholders of record at the close of business on September 8, 2025. The stock split has been retroactively reflected in the accompanying consolidated financial statements.</w:t>
      </w:r>
    </w:p>
    <w:p>
      <w:pPr>
        <w:spacing w:after="0" w:line="199"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Nature of Operations </w:t>
      </w:r>
      <w:r>
        <w:rPr>
          <w:rFonts w:ascii="Times New Roman" w:cs="Times New Roman" w:eastAsia="Times New Roman" w:hAnsi="Times New Roman"/>
          <w:sz w:val="22"/>
          <w:szCs w:val="22"/>
          <w:color w:val="auto"/>
        </w:rPr>
        <w:t>– The Company has one reportable segment, ethanol and by-products. Within the ethanol and by-products segment, the Company has equity investments in three ethanol limited liability companies, two of which are majority ownership interests.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9" w:name="page10"/>
    <w:bookmarkEnd w:id="9"/>
    <w:p>
      <w:pPr>
        <w:ind w:right="500" w:firstLine="648"/>
        <w:spacing w:after="0" w:line="244" w:lineRule="auto"/>
        <w:rPr>
          <w:sz w:val="20"/>
          <w:szCs w:val="20"/>
          <w:color w:val="auto"/>
        </w:rPr>
      </w:pPr>
      <w:r>
        <w:rPr>
          <w:rFonts w:ascii="Times New Roman" w:cs="Times New Roman" w:eastAsia="Times New Roman" w:hAnsi="Times New Roman"/>
          <w:sz w:val="22"/>
          <w:szCs w:val="22"/>
          <w:color w:val="auto"/>
        </w:rPr>
        <w:t>In applying the criteria set forth in ASC 280, the Company determined that based on the nature of the products and production process and the expected financial results, the Company’s operations at its ethanol plants are aggregated into one reporting segment.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w:t>
      </w:r>
      <w:r>
        <w:rPr>
          <w:rFonts w:ascii="Times New Roman" w:cs="Times New Roman" w:eastAsia="Times New Roman" w:hAnsi="Times New Roman"/>
          <w:sz w:val="22"/>
          <w:szCs w:val="22"/>
          <w:b w:val="1"/>
          <w:bCs w:val="1"/>
          <w:i w:val="1"/>
          <w:iCs w:val="1"/>
          <w:color w:val="auto"/>
        </w:rPr>
        <w:t>Accounting Policies</w:t>
      </w:r>
    </w:p>
    <w:p>
      <w:pPr>
        <w:spacing w:after="0" w:line="239"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The interim consolidated financial statements have been prepared in accordance with the accounting policies described in the notes to the consolidated financial statements included in the Company’s fiscal year 2025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Estimates</w:t>
      </w:r>
    </w:p>
    <w:p>
      <w:pPr>
        <w:spacing w:after="0" w:line="237"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3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Cash and cash equivalents includes bank deposits as well as short-term, highly liquid investments with original maturities of three months or less. The carrying amount of cash equivalents approximates fair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Recognition</w:t>
      </w:r>
    </w:p>
    <w:p>
      <w:pPr>
        <w:spacing w:after="0" w:line="237"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The Company recognizes sales of ethanol, distillers grains and distillers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Accounts Receivable</w:t>
      </w:r>
    </w:p>
    <w:p>
      <w:pPr>
        <w:spacing w:after="0" w:line="237"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Accounts receivable are recorded at their estimated net realizable value. Accounts are considered past due if payment is not received on a timely basis in accordance with the Company’s credit terms. Accounts considered uncollectible are written off in the period they are determined to be uncollectible. As of April 30, 2026 and January 31, 2026, the Company believes that all amounts are collectible and an allowance for credit losses was not considered necessary. The balance of accounts receivable at January 31, 2025 was $21.5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 in Accounting Principles</w:t>
      </w:r>
    </w:p>
    <w:p>
      <w:pPr>
        <w:spacing w:after="0" w:line="237"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The Company has determined that it qualifies for clean fuel production tax credits allowable under the IRA and OBBBA. The benefit recognized is determined based on the Company’s CI score. The Company intends on utilizing the tax credits earned in 2025 to offset taxes due and payable. The Company has not yet determined to what extent, if any, tax credits earned in 2026 will be monetized.</w:t>
      </w:r>
    </w:p>
    <w:p>
      <w:pPr>
        <w:spacing w:after="0" w:line="20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Effective February 1, 2026, the Company elected to early adopt ASU 2025-10, “Accounting for Government Grants Received by Business Entities” (“ASU 2025-10”) and as such, changed its accounting policy related to the accounting for Section 45Z tax credits. The Company will record the tax credits earned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0" w:name="page11"/>
    <w:bookmarkEnd w:id="10"/>
    <w:p>
      <w:pPr>
        <w:ind w:right="20"/>
        <w:spacing w:after="0" w:line="234" w:lineRule="auto"/>
        <w:rPr>
          <w:sz w:val="20"/>
          <w:szCs w:val="20"/>
          <w:color w:val="auto"/>
        </w:rPr>
      </w:pPr>
      <w:r>
        <w:rPr>
          <w:rFonts w:ascii="Times New Roman" w:cs="Times New Roman" w:eastAsia="Times New Roman" w:hAnsi="Times New Roman"/>
          <w:sz w:val="22"/>
          <w:szCs w:val="22"/>
          <w:color w:val="auto"/>
        </w:rPr>
        <w:t>under the income model of ASU 2025-10 as “Production tax credit income”, included within gross profit on the Consolidated Statements of Operations and within “Other assets” on the Consolidated Balance Sheets. The Company determined the income model under ASU 2025-10 is preferable to better align with monetization potential in the future. The Company has determined that retrospective adjustment to prior period financials is required. The Company did not record any Section 45Z tax credits until the fourth quarter of 2025, and as such, there is no impact to the first quarter of 2025. As the Company does not intend to monetize the credits earned in 2025, the balance sheet classification as a deferred tax asset remains appropriate. Further, there is no impact to the prior period equity balances as the retrospective adjustments result in an increase in net income attributable to noncontrolling interests, offset by an increase in distributions to noncontrolling interests. As such, no retrospective adjustments to the balance sheet are required.</w:t>
      </w:r>
    </w:p>
    <w:p>
      <w:pPr>
        <w:spacing w:after="0" w:line="210"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Below is a summary of reclassifications made to the Consolidated Statements of Operations for the year ended January 31, 2026 (amounts in thousands):</w:t>
      </w:r>
    </w:p>
    <w:p>
      <w:pPr>
        <w:spacing w:after="0" w:line="181"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22"/>
          <w:szCs w:val="22"/>
          <w:b w:val="1"/>
          <w:bCs w:val="1"/>
          <w:color w:val="auto"/>
        </w:rPr>
        <w:t>Year Ended</w:t>
      </w:r>
    </w:p>
    <w:p>
      <w:pPr>
        <w:spacing w:after="0" w:line="18"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22"/>
          <w:szCs w:val="22"/>
          <w:b w:val="1"/>
          <w:bCs w:val="1"/>
          <w:color w:val="auto"/>
        </w:rPr>
        <w:t>January 31, 2026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60" w:type="dxa"/>
            <w:vAlign w:val="bottom"/>
          </w:tcPr>
          <w:p>
            <w:pPr>
              <w:spacing w:after="0"/>
              <w:rPr>
                <w:sz w:val="22"/>
                <w:szCs w:val="22"/>
                <w:color w:val="auto"/>
              </w:rPr>
            </w:pPr>
          </w:p>
        </w:tc>
        <w:tc>
          <w:tcPr>
            <w:tcW w:w="2540" w:type="dxa"/>
            <w:vAlign w:val="bottom"/>
            <w:gridSpan w:val="4"/>
          </w:tcPr>
          <w:p>
            <w:pPr>
              <w:ind w:left="1060"/>
              <w:spacing w:after="0"/>
              <w:rPr>
                <w:sz w:val="20"/>
                <w:szCs w:val="20"/>
                <w:color w:val="auto"/>
              </w:rPr>
            </w:pPr>
            <w:r>
              <w:rPr>
                <w:rFonts w:ascii="Times New Roman" w:cs="Times New Roman" w:eastAsia="Times New Roman" w:hAnsi="Times New Roman"/>
                <w:sz w:val="22"/>
                <w:szCs w:val="22"/>
                <w:b w:val="1"/>
                <w:bCs w:val="1"/>
                <w:color w:val="auto"/>
              </w:rPr>
              <w:t>As Previously</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22"/>
                <w:szCs w:val="22"/>
                <w:b w:val="1"/>
                <w:bCs w:val="1"/>
                <w:color w:val="auto"/>
                <w:w w:val="99"/>
              </w:rPr>
              <w:t>Effect of</w:t>
            </w:r>
          </w:p>
        </w:tc>
        <w:tc>
          <w:tcPr>
            <w:tcW w:w="13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As Currently</w:t>
            </w:r>
          </w:p>
        </w:tc>
      </w:tr>
      <w:tr>
        <w:trPr>
          <w:trHeight w:val="274"/>
        </w:trPr>
        <w:tc>
          <w:tcPr>
            <w:tcW w:w="5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b w:val="1"/>
                <w:bCs w:val="1"/>
                <w:color w:val="auto"/>
                <w:w w:val="99"/>
              </w:rPr>
              <w:t>Reported</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22"/>
                <w:szCs w:val="22"/>
                <w:b w:val="1"/>
                <w:bCs w:val="1"/>
                <w:color w:val="auto"/>
                <w:w w:val="99"/>
              </w:rPr>
              <w:t>Change</w:t>
            </w:r>
          </w:p>
        </w:tc>
        <w:tc>
          <w:tcPr>
            <w:tcW w:w="140" w:type="dxa"/>
            <w:vAlign w:val="bottom"/>
          </w:tcPr>
          <w:p>
            <w:pPr>
              <w:spacing w:after="0"/>
              <w:rPr>
                <w:sz w:val="23"/>
                <w:szCs w:val="2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Reported</w:t>
            </w:r>
          </w:p>
        </w:tc>
      </w:tr>
      <w:tr>
        <w:trPr>
          <w:trHeight w:val="237"/>
        </w:trPr>
        <w:tc>
          <w:tcPr>
            <w:tcW w:w="5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Production tax credit income</w:t>
            </w:r>
          </w:p>
        </w:tc>
        <w:tc>
          <w:tcPr>
            <w:tcW w:w="1220" w:type="dxa"/>
            <w:vAlign w:val="bottom"/>
            <w:gridSpan w:val="2"/>
            <w:shd w:val="clear" w:color="auto" w:fill="E5FFFF"/>
          </w:tcPr>
          <w:p>
            <w:pPr>
              <w:ind w:left="10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31,723</w:t>
            </w:r>
          </w:p>
        </w:tc>
        <w:tc>
          <w:tcPr>
            <w:tcW w:w="4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31,723</w:t>
            </w:r>
          </w:p>
        </w:tc>
      </w:tr>
      <w:tr>
        <w:trPr>
          <w:trHeight w:val="498"/>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22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93,706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31,723</w:t>
            </w:r>
          </w:p>
        </w:tc>
        <w:tc>
          <w:tcPr>
            <w:tcW w:w="4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125,429</w:t>
            </w:r>
          </w:p>
        </w:tc>
      </w:tr>
      <w:tr>
        <w:trPr>
          <w:trHeight w:val="231"/>
        </w:trPr>
        <w:tc>
          <w:tcPr>
            <w:tcW w:w="5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Income before income taxes</w:t>
            </w:r>
          </w:p>
        </w:tc>
        <w:tc>
          <w:tcPr>
            <w:tcW w:w="1220" w:type="dxa"/>
            <w:vAlign w:val="bottom"/>
            <w:gridSpan w:val="2"/>
            <w:shd w:val="clear" w:color="auto" w:fill="E5FFFF"/>
          </w:tcPr>
          <w:p>
            <w:pPr>
              <w:ind w:left="10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88,572</w:t>
            </w:r>
          </w:p>
        </w:tc>
        <w:tc>
          <w:tcPr>
            <w:tcW w:w="3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31,723</w:t>
            </w:r>
          </w:p>
        </w:tc>
        <w:tc>
          <w:tcPr>
            <w:tcW w:w="4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120,295</w:t>
            </w:r>
          </w:p>
        </w:tc>
      </w:tr>
      <w:tr>
        <w:trPr>
          <w:trHeight w:val="498"/>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Benefit (provision) for income taxes</w:t>
            </w:r>
          </w:p>
        </w:tc>
        <w:tc>
          <w:tcPr>
            <w:tcW w:w="122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6,502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(28,089)</w:t>
            </w:r>
          </w:p>
        </w:tc>
        <w:tc>
          <w:tcPr>
            <w:tcW w:w="4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(21,587)</w:t>
            </w:r>
          </w:p>
        </w:tc>
      </w:tr>
      <w:tr>
        <w:trPr>
          <w:trHeight w:val="231"/>
        </w:trPr>
        <w:tc>
          <w:tcPr>
            <w:tcW w:w="5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1220" w:type="dxa"/>
            <w:vAlign w:val="bottom"/>
            <w:gridSpan w:val="2"/>
            <w:shd w:val="clear" w:color="auto" w:fill="E5FFFF"/>
          </w:tcPr>
          <w:p>
            <w:pPr>
              <w:ind w:left="10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95,074</w:t>
            </w:r>
          </w:p>
        </w:tc>
        <w:tc>
          <w:tcPr>
            <w:tcW w:w="3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3,634</w:t>
            </w:r>
          </w:p>
        </w:tc>
        <w:tc>
          <w:tcPr>
            <w:tcW w:w="4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98,708</w:t>
            </w:r>
          </w:p>
        </w:tc>
      </w:tr>
      <w:tr>
        <w:trPr>
          <w:trHeight w:val="498"/>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Net income attributable to noncontrolling interests</w:t>
            </w:r>
          </w:p>
        </w:tc>
        <w:tc>
          <w:tcPr>
            <w:tcW w:w="122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(12,123)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(3,634)</w:t>
            </w:r>
          </w:p>
        </w:tc>
        <w:tc>
          <w:tcPr>
            <w:tcW w:w="4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(15,757)</w:t>
            </w:r>
          </w:p>
        </w:tc>
      </w:tr>
      <w:tr>
        <w:trPr>
          <w:trHeight w:val="231"/>
        </w:trPr>
        <w:tc>
          <w:tcPr>
            <w:tcW w:w="5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7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income attributable to REX common shareholders</w:t>
            </w:r>
          </w:p>
        </w:tc>
        <w:tc>
          <w:tcPr>
            <w:tcW w:w="1220" w:type="dxa"/>
            <w:vAlign w:val="bottom"/>
            <w:gridSpan w:val="2"/>
            <w:shd w:val="clear" w:color="auto" w:fill="E5FFFF"/>
          </w:tcPr>
          <w:p>
            <w:pPr>
              <w:ind w:left="10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82,951</w:t>
            </w:r>
          </w:p>
        </w:tc>
        <w:tc>
          <w:tcPr>
            <w:tcW w:w="3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82,951</w:t>
            </w:r>
          </w:p>
        </w:tc>
      </w:tr>
      <w:tr>
        <w:trPr>
          <w:trHeight w:val="498"/>
        </w:trPr>
        <w:tc>
          <w:tcPr>
            <w:tcW w:w="57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Cost of Sales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4"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Cost of sales includes depreciation, costs of raw materials, third-party freight charges, purchasing and receiving costs, inspection costs, other distribution expenses, warehousing costs, plant repair and maintenance costs, production labor and related payroll costs, and general facility overhead charges.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Selling, General and Administrative Expenses</w:t>
      </w:r>
    </w:p>
    <w:p>
      <w:pPr>
        <w:spacing w:after="0" w:line="23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The Company includes non-production related costs such as professional fees, selling charges, operating lease expense, and certain payroll in SG&amp;A expenses.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Financial Instruments</w:t>
      </w:r>
    </w:p>
    <w:p>
      <w:pPr>
        <w:spacing w:after="0" w:line="237"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Certain of the forward corn and natural gas purchase contracts and ethanol, distillers grains and distillers corn oil sale contracts are accounted for under the “normal purchases and normal sales” scope exemption of ASC 815 because these arrangements are for purchases of corn that will be delivered in quantities expected to be used by the Company and sales of ethanol, distillers grains and distillers corn oil in quantities expected to be sold by the Company over a reasonable period of time in the normal course of business.</w:t>
      </w:r>
    </w:p>
    <w:p>
      <w:pPr>
        <w:spacing w:after="0" w:line="20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Company uses derivative financial instruments (exchange-traded futures contracts and swaps) to manage a portion of the risk associated with changes in commodity prices, primarily related to corn and ethanol.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Taxes</w:t>
      </w:r>
    </w:p>
    <w:p>
      <w:pPr>
        <w:spacing w:after="0" w:line="237"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did not pay income tax or receive any tax refunds during the three months ended April 30, 2026. The Company paid income taxes of approximately $1.9 million and received no refunds during the three months ended April 30, 2025.</w:t>
      </w:r>
    </w:p>
    <w:p>
      <w:pPr>
        <w:spacing w:after="0" w:line="20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As of April 30, 2026 and January 31, 2026, total unrecognized tax benefits were approximately $259,000. Accrued penalties and interest were approximately $131,000 and approximately $124,000 at April 30, 2026 and January 31, 2026, respectively. If the Company were to prevail on all unrecognized tax benefits recorded, the provision for income taxes would be reduced by approximately $177,000.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Inventory</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Inventories are carried at the lower of cost or net realizable value. Cost for all inventories is determined using the first-in, first-out method. Net realizable value is the estimated selling prices in the ordinary course of business, less reasonable predictable costs of completion, disposal, and transportation.</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12" w:name="page13"/>
    <w:bookmarkEnd w:id="12"/>
    <w:p>
      <w:pPr>
        <w:ind w:right="100"/>
        <w:spacing w:after="0" w:line="235" w:lineRule="auto"/>
        <w:rPr>
          <w:sz w:val="20"/>
          <w:szCs w:val="20"/>
          <w:color w:val="auto"/>
        </w:rPr>
      </w:pPr>
      <w:r>
        <w:rPr>
          <w:rFonts w:ascii="Times New Roman" w:cs="Times New Roman" w:eastAsia="Times New Roman" w:hAnsi="Times New Roman"/>
          <w:sz w:val="22"/>
          <w:szCs w:val="22"/>
          <w:color w:val="auto"/>
        </w:rPr>
        <w:t>Inventory includes direct production costs and certain overhead costs such as depreciation, property taxes and utilities related to producing ethanol and related by-products. Inventory is permanently written down in instances when cost exceeds estimated net realizable value; such write-downs are based primarily upon commodity prices as the market value of inventory is often dependent upon changes in commodity prices. The Company did not record any inventory write-downs at April 30, 2026. The Company recorded approximately $0.1 million of inventory write-downs in cost of sales at January 31, 2026. Fluctuations in the write-down of inventory generally relate to the levels and composition of such inventory and changes in commodity prices at a given point in time.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inventory are as follows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54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99"/>
              </w:rPr>
              <w:t>2026</w:t>
            </w:r>
          </w:p>
        </w:tc>
        <w:tc>
          <w:tcPr>
            <w:tcW w:w="4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60" w:type="dxa"/>
            <w:vAlign w:val="bottom"/>
          </w:tcPr>
          <w:p>
            <w:pPr>
              <w:spacing w:after="0"/>
              <w:rPr>
                <w:sz w:val="23"/>
                <w:szCs w:val="23"/>
                <w:color w:val="auto"/>
              </w:rPr>
            </w:pPr>
          </w:p>
        </w:tc>
      </w:tr>
      <w:tr>
        <w:trPr>
          <w:trHeight w:val="236"/>
        </w:trPr>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 and other finished goods</w:t>
            </w:r>
          </w:p>
        </w:tc>
        <w:tc>
          <w:tcPr>
            <w:tcW w:w="1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4,387</w:t>
            </w:r>
          </w:p>
        </w:tc>
        <w:tc>
          <w:tcPr>
            <w:tcW w:w="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5,809</w:t>
            </w:r>
          </w:p>
        </w:tc>
        <w:tc>
          <w:tcPr>
            <w:tcW w:w="60" w:type="dxa"/>
            <w:vAlign w:val="bottom"/>
            <w:shd w:val="clear" w:color="auto" w:fill="E5FFFF"/>
          </w:tcPr>
          <w:p>
            <w:pPr>
              <w:spacing w:after="0"/>
              <w:rPr>
                <w:sz w:val="21"/>
                <w:szCs w:val="21"/>
                <w:color w:val="auto"/>
              </w:rPr>
            </w:pPr>
          </w:p>
        </w:tc>
      </w:tr>
      <w:tr>
        <w:trPr>
          <w:trHeight w:val="243"/>
        </w:trPr>
        <w:tc>
          <w:tcPr>
            <w:tcW w:w="5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Work in process</w:t>
            </w:r>
          </w:p>
        </w:tc>
        <w:tc>
          <w:tcPr>
            <w:tcW w:w="160" w:type="dxa"/>
            <w:vAlign w:val="bottom"/>
          </w:tcPr>
          <w:p>
            <w:pPr>
              <w:spacing w:after="0"/>
              <w:rPr>
                <w:sz w:val="21"/>
                <w:szCs w:val="21"/>
                <w:color w:val="auto"/>
              </w:rPr>
            </w:pPr>
          </w:p>
        </w:tc>
        <w:tc>
          <w:tcPr>
            <w:tcW w:w="110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5,274</w:t>
            </w:r>
          </w:p>
        </w:tc>
        <w:tc>
          <w:tcPr>
            <w:tcW w:w="2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5,431</w:t>
            </w:r>
          </w:p>
        </w:tc>
        <w:tc>
          <w:tcPr>
            <w:tcW w:w="60" w:type="dxa"/>
            <w:vAlign w:val="bottom"/>
          </w:tcPr>
          <w:p>
            <w:pPr>
              <w:spacing w:after="0"/>
              <w:rPr>
                <w:sz w:val="21"/>
                <w:szCs w:val="21"/>
                <w:color w:val="auto"/>
              </w:rPr>
            </w:pPr>
          </w:p>
        </w:tc>
      </w:tr>
      <w:tr>
        <w:trPr>
          <w:trHeight w:val="257"/>
        </w:trPr>
        <w:tc>
          <w:tcPr>
            <w:tcW w:w="54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Corn and other raw materials</w:t>
            </w:r>
          </w:p>
        </w:tc>
        <w:tc>
          <w:tcPr>
            <w:tcW w:w="160" w:type="dxa"/>
            <w:vAlign w:val="bottom"/>
            <w:shd w:val="clear" w:color="auto" w:fill="E5FFFF"/>
          </w:tcPr>
          <w:p>
            <w:pPr>
              <w:spacing w:after="0"/>
              <w:rPr>
                <w:sz w:val="22"/>
                <w:szCs w:val="22"/>
                <w:color w:val="auto"/>
              </w:rPr>
            </w:pPr>
          </w:p>
        </w:tc>
        <w:tc>
          <w:tcPr>
            <w:tcW w:w="110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16,885</w:t>
            </w:r>
          </w:p>
        </w:tc>
        <w:tc>
          <w:tcPr>
            <w:tcW w:w="220" w:type="dxa"/>
            <w:vAlign w:val="bottom"/>
            <w:shd w:val="clear" w:color="auto" w:fill="E5FFFF"/>
          </w:tcPr>
          <w:p>
            <w:pPr>
              <w:spacing w:after="0"/>
              <w:rPr>
                <w:sz w:val="22"/>
                <w:szCs w:val="22"/>
                <w:color w:val="auto"/>
              </w:rPr>
            </w:pP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17,182</w:t>
            </w:r>
          </w:p>
        </w:tc>
        <w:tc>
          <w:tcPr>
            <w:tcW w:w="60" w:type="dxa"/>
            <w:vAlign w:val="bottom"/>
            <w:shd w:val="clear" w:color="auto" w:fill="E5FFFF"/>
          </w:tcPr>
          <w:p>
            <w:pPr>
              <w:spacing w:after="0"/>
              <w:rPr>
                <w:sz w:val="22"/>
                <w:szCs w:val="22"/>
                <w:color w:val="auto"/>
              </w:rPr>
            </w:pPr>
          </w:p>
        </w:tc>
      </w:tr>
      <w:tr>
        <w:trPr>
          <w:trHeight w:val="250"/>
        </w:trPr>
        <w:tc>
          <w:tcPr>
            <w:tcW w:w="54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6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26,546</w:t>
            </w:r>
          </w:p>
        </w:tc>
        <w:tc>
          <w:tcPr>
            <w:tcW w:w="4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28,422</w:t>
            </w:r>
          </w:p>
        </w:tc>
        <w:tc>
          <w:tcPr>
            <w:tcW w:w="6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Property and Equipment</w:t>
      </w:r>
    </w:p>
    <w:p>
      <w:pPr>
        <w:spacing w:after="0" w:line="23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40 years for fixtures and equipment.</w:t>
      </w:r>
    </w:p>
    <w:p>
      <w:pPr>
        <w:spacing w:after="0" w:line="19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In accordance with ASC 360-10 “</w:t>
      </w:r>
      <w:r>
        <w:rPr>
          <w:rFonts w:ascii="Times New Roman" w:cs="Times New Roman" w:eastAsia="Times New Roman" w:hAnsi="Times New Roman"/>
          <w:sz w:val="22"/>
          <w:szCs w:val="22"/>
          <w:i w:val="1"/>
          <w:iCs w:val="1"/>
          <w:color w:val="auto"/>
        </w:rPr>
        <w:t>Impairment or Disposal of Long-Lived Assets</w:t>
      </w:r>
      <w:r>
        <w:rPr>
          <w:rFonts w:ascii="Times New Roman" w:cs="Times New Roman" w:eastAsia="Times New Roman" w:hAnsi="Times New Roman"/>
          <w:sz w:val="22"/>
          <w:szCs w:val="22"/>
          <w:color w:val="auto"/>
        </w:rPr>
        <w:t>”, the carrying value of long-lived assets is assessed for recoverability by management when changes in circumstances indicate that the carrying amount may not be recoverable. The Company did not identify any indicators of impairment or record any impairment charges during the first three months of fiscal year 2026 or 2025.</w:t>
      </w:r>
    </w:p>
    <w:p>
      <w:pPr>
        <w:spacing w:after="0" w:line="203"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3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are met. The excess of the carrying value over the underlying equity in the net assets of equity method investees is allocated to specific assets and liabilities. Investments in businesses that the Company does not control but over which it has the ability to exercise significant influence over operating and financial matters are accounted for using the equity method. The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3" w:name="page14"/>
    <w:bookmarkEnd w:id="13"/>
    <w:p>
      <w:pPr>
        <w:ind w:right="260"/>
        <w:spacing w:after="0" w:line="258" w:lineRule="auto"/>
        <w:rPr>
          <w:sz w:val="20"/>
          <w:szCs w:val="20"/>
          <w:color w:val="auto"/>
        </w:rPr>
      </w:pPr>
      <w:r>
        <w:rPr>
          <w:rFonts w:ascii="Times New Roman" w:cs="Times New Roman" w:eastAsia="Times New Roman" w:hAnsi="Times New Roman"/>
          <w:sz w:val="22"/>
          <w:szCs w:val="22"/>
          <w:color w:val="auto"/>
        </w:rPr>
        <w:t>Company accounts for its investment in Big River using the equity method of accounting and includes the results on a delayed basis of one month as Big River has a fiscal year end of December 31.</w:t>
      </w:r>
    </w:p>
    <w:p>
      <w:pPr>
        <w:spacing w:after="0" w:line="185"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207"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Short-term investments, consisting of U.S. government obligations, are considered held to maturity, and therefore are carried at amortized historical cost.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Recently Issued Accounting Standards</w:t>
      </w:r>
    </w:p>
    <w:p>
      <w:pPr>
        <w:spacing w:after="0" w:line="237" w:lineRule="exact"/>
        <w:rPr>
          <w:sz w:val="20"/>
          <w:szCs w:val="20"/>
          <w:color w:val="auto"/>
        </w:rPr>
      </w:pPr>
    </w:p>
    <w:p>
      <w:pPr>
        <w:ind w:right="280" w:firstLine="648"/>
        <w:spacing w:after="0" w:line="238" w:lineRule="auto"/>
        <w:rPr>
          <w:sz w:val="20"/>
          <w:szCs w:val="20"/>
          <w:color w:val="auto"/>
        </w:rPr>
      </w:pPr>
      <w:r>
        <w:rPr>
          <w:rFonts w:ascii="Times New Roman" w:cs="Times New Roman" w:eastAsia="Times New Roman" w:hAnsi="Times New Roman"/>
          <w:sz w:val="22"/>
          <w:szCs w:val="22"/>
          <w:color w:val="auto"/>
        </w:rPr>
        <w:t>In November 2024, the FASB issued ASU 2024-03, “Income Statement - Reporting Comprehensive Income - Expense Disaggregation Disclosures (Subtopic 220-40)”, which provides clarity in assessing an entity’s performance and prospects for future cash flows by disclosure of more detailed information about the types of expenses in commonly presented expense captions. This ASU is effective for the Company’s fiscal year ended January 31, 2028. Early adoption is permitted, but not required. The Company is currently evaluating the impact of this ASU.</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w:t>
      </w:r>
      <w:r>
        <w:rPr>
          <w:rFonts w:ascii="Times New Roman" w:cs="Times New Roman" w:eastAsia="Times New Roman" w:hAnsi="Times New Roman"/>
          <w:sz w:val="22"/>
          <w:szCs w:val="22"/>
          <w:b w:val="1"/>
          <w:bCs w:val="1"/>
          <w:i w:val="1"/>
          <w:iCs w:val="1"/>
          <w:color w:val="auto"/>
        </w:rPr>
        <w:t>Net Sales and Revenue</w:t>
      </w:r>
    </w:p>
    <w:p>
      <w:pPr>
        <w:spacing w:after="0" w:line="23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or truck used to transport the products. Revenue is measured as the amount of consideration expected to be received in exchange for transferring goods. Sales, value added and other taxes the Company collects concurrently with revenue producing activities are excluded from net sales and revenue.</w:t>
      </w:r>
    </w:p>
    <w:p>
      <w:pPr>
        <w:spacing w:after="0" w:line="204"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entered into sales contracts in which payment is due from a customer prior to transferring product to the customer. Thus, the Company does not record unearned revenue.</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22"/>
          <w:szCs w:val="22"/>
          <w:color w:val="auto"/>
        </w:rPr>
        <w:t>The following tables shows disaggregated revenue by product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140" w:type="dxa"/>
            <w:vAlign w:val="bottom"/>
            <w:gridSpan w:val="4"/>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r>
      <w:tr>
        <w:trPr>
          <w:trHeight w:val="243"/>
        </w:trPr>
        <w:tc>
          <w:tcPr>
            <w:tcW w:w="4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140" w:type="dxa"/>
            <w:vAlign w:val="bottom"/>
            <w:gridSpan w:val="4"/>
          </w:tcPr>
          <w:p>
            <w:pPr>
              <w:jc w:val="center"/>
              <w:ind w:right="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April 30,</w:t>
            </w:r>
          </w:p>
        </w:tc>
      </w:tr>
      <w:tr>
        <w:trPr>
          <w:trHeight w:val="274"/>
        </w:trPr>
        <w:tc>
          <w:tcPr>
            <w:tcW w:w="4860" w:type="dxa"/>
            <w:vAlign w:val="bottom"/>
          </w:tcPr>
          <w:p>
            <w:pPr>
              <w:spacing w:after="0"/>
              <w:rPr>
                <w:sz w:val="23"/>
                <w:szCs w:val="23"/>
                <w:color w:val="auto"/>
              </w:rPr>
            </w:pPr>
          </w:p>
        </w:tc>
        <w:tc>
          <w:tcPr>
            <w:tcW w:w="166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60" w:type="dxa"/>
            <w:vAlign w:val="bottom"/>
          </w:tcPr>
          <w:p>
            <w:pPr>
              <w:spacing w:after="0"/>
              <w:rPr>
                <w:sz w:val="23"/>
                <w:szCs w:val="23"/>
                <w:color w:val="auto"/>
              </w:rPr>
            </w:pPr>
          </w:p>
        </w:tc>
      </w:tr>
      <w:tr>
        <w:trPr>
          <w:trHeight w:val="236"/>
        </w:trPr>
        <w:tc>
          <w:tcPr>
            <w:tcW w:w="486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Ethanol</w:t>
            </w:r>
          </w:p>
        </w:tc>
        <w:tc>
          <w:tcPr>
            <w:tcW w:w="860" w:type="dxa"/>
            <w:vAlign w:val="bottom"/>
            <w:tcBorders>
              <w:top w:val="single" w:sz="8" w:color="E5FFFF"/>
            </w:tcBorders>
            <w:shd w:val="clear" w:color="auto" w:fill="E5FFFF"/>
          </w:tcPr>
          <w:p>
            <w:pPr>
              <w:spacing w:after="0"/>
              <w:rPr>
                <w:sz w:val="20"/>
                <w:szCs w:val="20"/>
                <w:color w:val="auto"/>
              </w:rPr>
            </w:pPr>
          </w:p>
        </w:tc>
        <w:tc>
          <w:tcPr>
            <w:tcW w:w="8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4"/>
              </w:rPr>
              <w:t>$119,881</w:t>
            </w:r>
          </w:p>
        </w:tc>
        <w:tc>
          <w:tcPr>
            <w:tcW w:w="460" w:type="dxa"/>
            <w:vAlign w:val="bottom"/>
            <w:tcBorders>
              <w:top w:val="single" w:sz="8" w:color="E5FFFF"/>
            </w:tcBorders>
            <w:shd w:val="clear" w:color="auto" w:fill="E5FFFF"/>
          </w:tcPr>
          <w:p>
            <w:pPr>
              <w:spacing w:after="0"/>
              <w:rPr>
                <w:sz w:val="20"/>
                <w:szCs w:val="20"/>
                <w:color w:val="auto"/>
              </w:rPr>
            </w:pPr>
          </w:p>
        </w:tc>
        <w:tc>
          <w:tcPr>
            <w:tcW w:w="8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6"/>
              </w:rPr>
              <w:t>$124,397</w:t>
            </w:r>
          </w:p>
        </w:tc>
        <w:tc>
          <w:tcPr>
            <w:tcW w:w="60" w:type="dxa"/>
            <w:vAlign w:val="bottom"/>
            <w:tcBorders>
              <w:top w:val="single" w:sz="8" w:color="E5FFFF"/>
            </w:tcBorders>
            <w:shd w:val="clear" w:color="auto" w:fill="E5FFFF"/>
          </w:tcPr>
          <w:p>
            <w:pPr>
              <w:spacing w:after="0"/>
              <w:rPr>
                <w:sz w:val="20"/>
                <w:szCs w:val="20"/>
                <w:color w:val="auto"/>
              </w:rPr>
            </w:pPr>
          </w:p>
        </w:tc>
      </w:tr>
      <w:tr>
        <w:trPr>
          <w:trHeight w:val="243"/>
        </w:trPr>
        <w:tc>
          <w:tcPr>
            <w:tcW w:w="4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16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24,163</w:t>
            </w:r>
          </w:p>
        </w:tc>
        <w:tc>
          <w:tcPr>
            <w:tcW w:w="12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22,286</w:t>
            </w:r>
          </w:p>
        </w:tc>
        <w:tc>
          <w:tcPr>
            <w:tcW w:w="60" w:type="dxa"/>
            <w:vAlign w:val="bottom"/>
          </w:tcPr>
          <w:p>
            <w:pPr>
              <w:spacing w:after="0"/>
              <w:rPr>
                <w:sz w:val="21"/>
                <w:szCs w:val="21"/>
                <w:color w:val="auto"/>
              </w:rPr>
            </w:pPr>
          </w:p>
        </w:tc>
      </w:tr>
      <w:tr>
        <w:trPr>
          <w:trHeight w:val="243"/>
        </w:trPr>
        <w:tc>
          <w:tcPr>
            <w:tcW w:w="48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16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12,956</w:t>
            </w:r>
          </w:p>
        </w:tc>
        <w:tc>
          <w:tcPr>
            <w:tcW w:w="12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9,879</w:t>
            </w:r>
          </w:p>
        </w:tc>
        <w:tc>
          <w:tcPr>
            <w:tcW w:w="60" w:type="dxa"/>
            <w:vAlign w:val="bottom"/>
            <w:shd w:val="clear" w:color="auto" w:fill="E5FFFF"/>
          </w:tcPr>
          <w:p>
            <w:pPr>
              <w:spacing w:after="0"/>
              <w:rPr>
                <w:sz w:val="21"/>
                <w:szCs w:val="21"/>
                <w:color w:val="auto"/>
              </w:rPr>
            </w:pPr>
          </w:p>
        </w:tc>
      </w:tr>
      <w:tr>
        <w:trPr>
          <w:trHeight w:val="243"/>
        </w:trPr>
        <w:tc>
          <w:tcPr>
            <w:tcW w:w="4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16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1,033</w:t>
            </w:r>
          </w:p>
        </w:tc>
        <w:tc>
          <w:tcPr>
            <w:tcW w:w="12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1,623</w:t>
            </w:r>
          </w:p>
        </w:tc>
        <w:tc>
          <w:tcPr>
            <w:tcW w:w="60" w:type="dxa"/>
            <w:vAlign w:val="bottom"/>
          </w:tcPr>
          <w:p>
            <w:pPr>
              <w:spacing w:after="0"/>
              <w:rPr>
                <w:sz w:val="21"/>
                <w:szCs w:val="21"/>
                <w:color w:val="auto"/>
              </w:rPr>
            </w:pPr>
          </w:p>
        </w:tc>
      </w:tr>
      <w:tr>
        <w:trPr>
          <w:trHeight w:val="243"/>
        </w:trPr>
        <w:tc>
          <w:tcPr>
            <w:tcW w:w="48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(losses) gains</w:t>
            </w:r>
          </w:p>
        </w:tc>
        <w:tc>
          <w:tcPr>
            <w:tcW w:w="16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(1,576)</w:t>
            </w:r>
          </w:p>
        </w:tc>
        <w:tc>
          <w:tcPr>
            <w:tcW w:w="12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60" w:type="dxa"/>
            <w:vAlign w:val="bottom"/>
            <w:shd w:val="clear" w:color="auto" w:fill="E5FFFF"/>
          </w:tcPr>
          <w:p>
            <w:pPr>
              <w:spacing w:after="0"/>
              <w:rPr>
                <w:sz w:val="21"/>
                <w:szCs w:val="21"/>
                <w:color w:val="auto"/>
              </w:rPr>
            </w:pPr>
          </w:p>
        </w:tc>
      </w:tr>
      <w:tr>
        <w:trPr>
          <w:trHeight w:val="256"/>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138</w:t>
            </w:r>
          </w:p>
        </w:tc>
        <w:tc>
          <w:tcPr>
            <w:tcW w:w="60" w:type="dxa"/>
            <w:vAlign w:val="bottom"/>
          </w:tcPr>
          <w:p>
            <w:pPr>
              <w:spacing w:after="0"/>
              <w:rPr>
                <w:sz w:val="22"/>
                <w:szCs w:val="22"/>
                <w:color w:val="auto"/>
              </w:rPr>
            </w:pPr>
          </w:p>
        </w:tc>
      </w:tr>
      <w:tr>
        <w:trPr>
          <w:trHeight w:val="250"/>
        </w:trPr>
        <w:tc>
          <w:tcPr>
            <w:tcW w:w="48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860" w:type="dxa"/>
            <w:vAlign w:val="bottom"/>
            <w:tcBorders>
              <w:top w:val="single" w:sz="8" w:color="E5FFFF"/>
              <w:bottom w:val="single" w:sz="8" w:color="E5FFFF"/>
            </w:tcBorders>
            <w:shd w:val="clear" w:color="auto" w:fill="E5FFFF"/>
          </w:tcPr>
          <w:p>
            <w:pPr>
              <w:spacing w:after="0"/>
              <w:rPr>
                <w:sz w:val="21"/>
                <w:szCs w:val="21"/>
                <w:color w:val="auto"/>
              </w:rPr>
            </w:pP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auto"/>
                <w:w w:val="94"/>
              </w:rPr>
              <w:t>$</w:t>
            </w:r>
            <w:r>
              <w:rPr>
                <w:rFonts w:ascii="Times New Roman" w:cs="Times New Roman" w:eastAsia="Times New Roman" w:hAnsi="Times New Roman"/>
                <w:sz w:val="22"/>
                <w:szCs w:val="22"/>
                <w:color w:val="auto"/>
                <w:w w:val="94"/>
              </w:rPr>
              <w:t>156,499</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8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auto"/>
                <w:w w:val="96"/>
              </w:rPr>
              <w:t>$</w:t>
            </w:r>
            <w:r>
              <w:rPr>
                <w:rFonts w:ascii="Times New Roman" w:cs="Times New Roman" w:eastAsia="Times New Roman" w:hAnsi="Times New Roman"/>
                <w:sz w:val="22"/>
                <w:szCs w:val="22"/>
                <w:color w:val="auto"/>
                <w:w w:val="96"/>
              </w:rPr>
              <w:t>158,340</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4. </w:t>
      </w:r>
      <w:r>
        <w:rPr>
          <w:rFonts w:ascii="Times New Roman" w:cs="Times New Roman" w:eastAsia="Times New Roman" w:hAnsi="Times New Roman"/>
          <w:sz w:val="22"/>
          <w:szCs w:val="22"/>
          <w:b w:val="1"/>
          <w:bCs w:val="1"/>
          <w:i w:val="1"/>
          <w:iCs w:val="1"/>
          <w:color w:val="auto"/>
        </w:rPr>
        <w:t>Leases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Operating Leases</w:t>
      </w:r>
    </w:p>
    <w:p>
      <w:pPr>
        <w:spacing w:after="0" w:line="237"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At April 30, 2026,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20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lease expense, classified as SG&amp;A expenses on the Consolidated Statement of Operations and total cash paid for amounts included in the measurement of lease liabilities are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4"/>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9"/>
              </w:rPr>
              <w:t>Three Months Ended</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7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5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Operating lease expense</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2,052</w:t>
            </w:r>
          </w:p>
        </w:tc>
        <w:tc>
          <w:tcPr>
            <w:tcW w:w="7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2,008</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Variable lease expense</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580" w:type="dxa"/>
            <w:vAlign w:val="bottom"/>
            <w:tcBorders>
              <w:bottom w:val="single" w:sz="8" w:color="E5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lease expense</w:t>
            </w:r>
          </w:p>
        </w:tc>
        <w:tc>
          <w:tcPr>
            <w:tcW w:w="16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2,098</w:t>
            </w:r>
          </w:p>
        </w:tc>
        <w:tc>
          <w:tcPr>
            <w:tcW w:w="580" w:type="dxa"/>
            <w:vAlign w:val="bottom"/>
            <w:tcBorders>
              <w:bottom w:val="single" w:sz="8" w:color="E5FFFF"/>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Borders>
              <w:bottom w:val="single" w:sz="8" w:color="auto"/>
              <w:right w:val="single" w:sz="8" w:color="E5FFFF"/>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2,074</w:t>
            </w: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Total cash paid in measurement of</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00" w:type="dxa"/>
            <w:vAlign w:val="bottom"/>
          </w:tcPr>
          <w:p>
            <w:pPr>
              <w:spacing w:after="0"/>
              <w:rPr>
                <w:sz w:val="20"/>
                <w:szCs w:val="20"/>
                <w:color w:val="auto"/>
              </w:rPr>
            </w:pPr>
            <w:r>
              <w:rPr>
                <w:rFonts w:ascii="Times New Roman" w:cs="Times New Roman" w:eastAsia="Times New Roman" w:hAnsi="Times New Roman"/>
                <w:sz w:val="22"/>
                <w:szCs w:val="22"/>
                <w:color w:val="auto"/>
              </w:rPr>
              <w:t>lease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2,171</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3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45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22"/>
          <w:szCs w:val="22"/>
          <w:color w:val="auto"/>
        </w:rPr>
        <w:t>The following table is a summary of future minimum rentals on such leases at April 30, 2026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w w:val="99"/>
              </w:rPr>
              <w:t>Minimum</w:t>
            </w:r>
          </w:p>
        </w:tc>
      </w:tr>
      <w:tr>
        <w:trPr>
          <w:trHeight w:val="274"/>
        </w:trPr>
        <w:tc>
          <w:tcPr>
            <w:tcW w:w="3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Years Ended January 31,</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Rentals</w:t>
            </w:r>
          </w:p>
        </w:tc>
      </w:tr>
      <w:tr>
        <w:trPr>
          <w:trHeight w:val="237"/>
        </w:trPr>
        <w:tc>
          <w:tcPr>
            <w:tcW w:w="30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4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2027</w:t>
            </w:r>
          </w:p>
        </w:tc>
        <w:tc>
          <w:tcPr>
            <w:tcW w:w="1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5,788</w:t>
            </w:r>
          </w:p>
        </w:tc>
        <w:tc>
          <w:tcPr>
            <w:tcW w:w="20" w:type="dxa"/>
            <w:vAlign w:val="bottom"/>
            <w:shd w:val="clear" w:color="auto" w:fill="E5FFFF"/>
          </w:tcPr>
          <w:p>
            <w:pPr>
              <w:spacing w:after="0"/>
              <w:rPr>
                <w:sz w:val="21"/>
                <w:szCs w:val="21"/>
                <w:color w:val="auto"/>
              </w:rPr>
            </w:pPr>
          </w:p>
        </w:tc>
      </w:tr>
      <w:tr>
        <w:trPr>
          <w:trHeight w:val="243"/>
        </w:trPr>
        <w:tc>
          <w:tcPr>
            <w:tcW w:w="3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6,382</w:t>
            </w:r>
          </w:p>
        </w:tc>
        <w:tc>
          <w:tcPr>
            <w:tcW w:w="20" w:type="dxa"/>
            <w:vAlign w:val="bottom"/>
          </w:tcPr>
          <w:p>
            <w:pPr>
              <w:spacing w:after="0"/>
              <w:rPr>
                <w:sz w:val="21"/>
                <w:szCs w:val="21"/>
                <w:color w:val="auto"/>
              </w:rPr>
            </w:pPr>
          </w:p>
        </w:tc>
      </w:tr>
      <w:tr>
        <w:trPr>
          <w:trHeight w:val="243"/>
        </w:trPr>
        <w:tc>
          <w:tcPr>
            <w:tcW w:w="30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4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3,701</w:t>
            </w:r>
          </w:p>
        </w:tc>
        <w:tc>
          <w:tcPr>
            <w:tcW w:w="20" w:type="dxa"/>
            <w:vAlign w:val="bottom"/>
            <w:shd w:val="clear" w:color="auto" w:fill="E5FFFF"/>
          </w:tcPr>
          <w:p>
            <w:pPr>
              <w:spacing w:after="0"/>
              <w:rPr>
                <w:sz w:val="21"/>
                <w:szCs w:val="21"/>
                <w:color w:val="auto"/>
              </w:rPr>
            </w:pPr>
          </w:p>
        </w:tc>
      </w:tr>
      <w:tr>
        <w:trPr>
          <w:trHeight w:val="243"/>
        </w:trPr>
        <w:tc>
          <w:tcPr>
            <w:tcW w:w="3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2030</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20" w:type="dxa"/>
            <w:vAlign w:val="bottom"/>
          </w:tcPr>
          <w:p>
            <w:pPr>
              <w:spacing w:after="0"/>
              <w:rPr>
                <w:sz w:val="21"/>
                <w:szCs w:val="21"/>
                <w:color w:val="auto"/>
              </w:rPr>
            </w:pPr>
          </w:p>
        </w:tc>
      </w:tr>
      <w:tr>
        <w:trPr>
          <w:trHeight w:val="257"/>
        </w:trPr>
        <w:tc>
          <w:tcPr>
            <w:tcW w:w="30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2031</w:t>
            </w:r>
          </w:p>
        </w:tc>
        <w:tc>
          <w:tcPr>
            <w:tcW w:w="44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129</w:t>
            </w:r>
          </w:p>
        </w:tc>
        <w:tc>
          <w:tcPr>
            <w:tcW w:w="20" w:type="dxa"/>
            <w:vAlign w:val="bottom"/>
            <w:shd w:val="clear" w:color="auto" w:fill="E5FFFF"/>
          </w:tcPr>
          <w:p>
            <w:pPr>
              <w:spacing w:after="0"/>
              <w:rPr>
                <w:sz w:val="22"/>
                <w:szCs w:val="22"/>
                <w:color w:val="auto"/>
              </w:rPr>
            </w:pPr>
          </w:p>
        </w:tc>
      </w:tr>
      <w:tr>
        <w:trPr>
          <w:trHeight w:val="237"/>
        </w:trPr>
        <w:tc>
          <w:tcPr>
            <w:tcW w:w="346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18,028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34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22"/>
                <w:szCs w:val="22"/>
                <w:color w:val="auto"/>
              </w:rPr>
              <w:t>Less: present value discount</w:t>
            </w: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1,625</w:t>
            </w:r>
          </w:p>
        </w:tc>
        <w:tc>
          <w:tcPr>
            <w:tcW w:w="20" w:type="dxa"/>
            <w:vAlign w:val="bottom"/>
            <w:shd w:val="clear" w:color="auto" w:fill="E5FFFF"/>
          </w:tcPr>
          <w:p>
            <w:pPr>
              <w:spacing w:after="0"/>
              <w:rPr>
                <w:sz w:val="22"/>
                <w:szCs w:val="22"/>
                <w:color w:val="auto"/>
              </w:rPr>
            </w:pPr>
          </w:p>
        </w:tc>
      </w:tr>
      <w:tr>
        <w:trPr>
          <w:trHeight w:val="250"/>
        </w:trPr>
        <w:tc>
          <w:tcPr>
            <w:tcW w:w="346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Operating lease liabilities</w:t>
            </w:r>
          </w:p>
        </w:tc>
        <w:tc>
          <w:tcPr>
            <w:tcW w:w="2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16,403</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3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6" w:lineRule="exact"/>
        <w:rPr>
          <w:sz w:val="20"/>
          <w:szCs w:val="20"/>
          <w:color w:val="auto"/>
        </w:rPr>
      </w:pPr>
    </w:p>
    <w:p>
      <w:pPr>
        <w:ind w:right="520" w:firstLine="648"/>
        <w:spacing w:after="0" w:line="258" w:lineRule="auto"/>
        <w:rPr>
          <w:sz w:val="20"/>
          <w:szCs w:val="20"/>
          <w:color w:val="auto"/>
        </w:rPr>
      </w:pPr>
      <w:r>
        <w:rPr>
          <w:rFonts w:ascii="Times New Roman" w:cs="Times New Roman" w:eastAsia="Times New Roman" w:hAnsi="Times New Roman"/>
          <w:sz w:val="22"/>
          <w:szCs w:val="22"/>
          <w:color w:val="auto"/>
        </w:rPr>
        <w:t>At April 30, 2026, the weighted average remaining lease term is 2.5 years, and the weighted average discount rate is 6.62% for the outstanding leases.</w:t>
      </w:r>
    </w:p>
    <w:p>
      <w:pPr>
        <w:spacing w:after="0" w:line="185"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At January 31, 2026, the weighted average remaining lease term was 2.7 years, and the weighted average discount rate was 6.61% for the outstanding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Finance Lease</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At April 30, 2026, the Company had one lease agreement that was classified as a finance lease for an electrical substation facility. Prepayments totaling $15.6 million were made prior to fiscal year 2025. This balance was included in the finance lease right-of-use asset calculation upon lease commencement in fiscal year 2025 as a non-cash investing activity. The lease includes monthly payments of approximately $39,000 to be made over the term of the lease. The lease term for this lease includes the noncancelable period of the lease and any periods for which only the Company has the option to cancel but is reasonably expected to continue the lease. Based on this, the lease term was determined to be 10 years. Control of the facility’s output was transferred to the Company just before the end of the first quarter of fiscal year 2025, with monthly lease expense commencing in the second quarter of fiscal year 2025. For the three month period ended April 30, 2026, expense related to this lease was approximately $0.5 million, which includes approximately $55,000 in interest expense.</w:t>
      </w:r>
    </w:p>
    <w:p>
      <w:pPr>
        <w:spacing w:after="0" w:line="21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21"/>
          <w:szCs w:val="21"/>
          <w:color w:val="auto"/>
        </w:rPr>
        <w:t>The weighted average remaining lease term for the finance lease was 9.0 and 9.3 years as of April 30, 2026 and January 31, 2026, respectively. A discount rate of 6.9% was deemed appropriate as an incremental borrowing rate for a 10-year term.</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22"/>
          <w:szCs w:val="22"/>
          <w:color w:val="auto"/>
        </w:rPr>
        <w:t>The following table is a summary of future minimum rentals on the lease at April 30, 2026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Minimum</w:t>
            </w:r>
          </w:p>
        </w:tc>
      </w:tr>
      <w:tr>
        <w:trPr>
          <w:trHeight w:val="274"/>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Years Ended January 31,</w:t>
            </w: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Rentals</w:t>
            </w:r>
          </w:p>
        </w:tc>
      </w:tr>
      <w:tr>
        <w:trPr>
          <w:trHeight w:val="237"/>
        </w:trPr>
        <w:tc>
          <w:tcPr>
            <w:tcW w:w="30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30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2027</w:t>
            </w:r>
          </w:p>
        </w:tc>
        <w:tc>
          <w:tcPr>
            <w:tcW w:w="6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352</w:t>
            </w:r>
          </w:p>
        </w:tc>
      </w:tr>
      <w:tr>
        <w:trPr>
          <w:trHeight w:val="243"/>
        </w:trPr>
        <w:tc>
          <w:tcPr>
            <w:tcW w:w="3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469</w:t>
            </w:r>
          </w:p>
        </w:tc>
      </w:tr>
      <w:tr>
        <w:trPr>
          <w:trHeight w:val="243"/>
        </w:trPr>
        <w:tc>
          <w:tcPr>
            <w:tcW w:w="30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4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469</w:t>
            </w:r>
          </w:p>
        </w:tc>
      </w:tr>
      <w:tr>
        <w:trPr>
          <w:trHeight w:val="243"/>
        </w:trPr>
        <w:tc>
          <w:tcPr>
            <w:tcW w:w="3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2030</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469</w:t>
            </w:r>
          </w:p>
        </w:tc>
      </w:tr>
      <w:tr>
        <w:trPr>
          <w:trHeight w:val="243"/>
        </w:trPr>
        <w:tc>
          <w:tcPr>
            <w:tcW w:w="30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2031</w:t>
            </w:r>
          </w:p>
        </w:tc>
        <w:tc>
          <w:tcPr>
            <w:tcW w:w="4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469</w:t>
            </w: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Thereafter</w:t>
            </w: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1,993</w:t>
            </w:r>
          </w:p>
        </w:tc>
      </w:tr>
      <w:tr>
        <w:trPr>
          <w:trHeight w:val="237"/>
        </w:trPr>
        <w:tc>
          <w:tcPr>
            <w:tcW w:w="302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44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8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4,221</w:t>
            </w:r>
          </w:p>
        </w:tc>
        <w:tc>
          <w:tcPr>
            <w:tcW w:w="40" w:type="dxa"/>
            <w:vAlign w:val="bottom"/>
            <w:tcBorders>
              <w:top w:val="single" w:sz="8" w:color="E5FFFF"/>
            </w:tcBorders>
            <w:shd w:val="clear" w:color="auto" w:fill="E5FFFF"/>
          </w:tcPr>
          <w:p>
            <w:pPr>
              <w:spacing w:after="0"/>
              <w:rPr>
                <w:sz w:val="20"/>
                <w:szCs w:val="20"/>
                <w:color w:val="auto"/>
              </w:rPr>
            </w:pP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Less: present value discount</w:t>
            </w: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1,083</w:t>
            </w:r>
          </w:p>
        </w:tc>
      </w:tr>
      <w:tr>
        <w:trPr>
          <w:trHeight w:val="250"/>
        </w:trPr>
        <w:tc>
          <w:tcPr>
            <w:tcW w:w="30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Finance lease liabilities</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3,138</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3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w:t>
      </w:r>
      <w:r>
        <w:rPr>
          <w:rFonts w:ascii="Times New Roman" w:cs="Times New Roman" w:eastAsia="Times New Roman" w:hAnsi="Times New Roman"/>
          <w:sz w:val="22"/>
          <w:szCs w:val="22"/>
          <w:b w:val="1"/>
          <w:bCs w:val="1"/>
          <w:i w:val="1"/>
          <w:iCs w:val="1"/>
          <w:color w:val="auto"/>
        </w:rPr>
        <w:t>Fair Value</w:t>
      </w:r>
    </w:p>
    <w:p>
      <w:pPr>
        <w:spacing w:after="0" w:line="23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The Company applies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21"/>
          <w:szCs w:val="21"/>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2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1"/>
          <w:szCs w:val="21"/>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720" w:firstLine="8"/>
        <w:spacing w:after="0" w:line="258" w:lineRule="auto"/>
        <w:tabs>
          <w:tab w:leader="none" w:pos="25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model validation that requires a review and approval for pricing, financial statement fair value determination and risk quantification; and (ii) periodic review and substantiation of profit and loss reporting for all derivative instruments.</w:t>
      </w:r>
    </w:p>
    <w:p>
      <w:pPr>
        <w:spacing w:after="0" w:line="1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396" w:right="439" w:bottom="1440" w:gutter="0" w:footer="0" w:header="0"/>
        </w:sectPr>
      </w:pPr>
    </w:p>
    <w:bookmarkStart w:id="17" w:name="page18"/>
    <w:bookmarkEnd w:id="17"/>
    <w:p>
      <w:pPr>
        <w:ind w:right="74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April 30, 2026 are summarized below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180" w:type="dxa"/>
            <w:vAlign w:val="bottom"/>
          </w:tcPr>
          <w:p>
            <w:pPr>
              <w:spacing w:after="0"/>
              <w:rPr>
                <w:sz w:val="23"/>
                <w:szCs w:val="2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20" w:type="dxa"/>
            <w:vAlign w:val="bottom"/>
          </w:tcPr>
          <w:p>
            <w:pPr>
              <w:spacing w:after="0"/>
              <w:rPr>
                <w:sz w:val="23"/>
                <w:szCs w:val="23"/>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6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708</w:t>
            </w:r>
          </w:p>
        </w:tc>
        <w:tc>
          <w:tcPr>
            <w:tcW w:w="38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2"/>
            <w:shd w:val="clear" w:color="auto" w:fill="E5FFFF"/>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80" w:type="dxa"/>
            <w:vAlign w:val="bottom"/>
            <w:gridSpan w:val="2"/>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708</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0"/>
                <w:szCs w:val="20"/>
                <w:color w:val="auto"/>
              </w:rPr>
            </w:pPr>
            <w:r>
              <w:rPr>
                <w:rFonts w:ascii="Times New Roman" w:cs="Times New Roman" w:eastAsia="Times New Roman" w:hAnsi="Times New Roman"/>
                <w:sz w:val="22"/>
                <w:szCs w:val="22"/>
                <w:color w:val="auto"/>
              </w:rPr>
              <w:t>Commodity futures asset (2)</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(650)</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(650)</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708</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jc w:val="right"/>
              <w:ind w:right="1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58</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900" w:type="dxa"/>
            <w:vAlign w:val="bottom"/>
            <w:vMerge w:val="continue"/>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625</w:t>
            </w:r>
          </w:p>
        </w:tc>
        <w:tc>
          <w:tcPr>
            <w:tcW w:w="3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52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January 31, 2026 are summarized below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180" w:type="dxa"/>
            <w:vAlign w:val="bottom"/>
          </w:tcPr>
          <w:p>
            <w:pPr>
              <w:spacing w:after="0"/>
              <w:rPr>
                <w:sz w:val="23"/>
                <w:szCs w:val="2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20" w:type="dxa"/>
            <w:vAlign w:val="bottom"/>
          </w:tcPr>
          <w:p>
            <w:pPr>
              <w:spacing w:after="0"/>
              <w:rPr>
                <w:sz w:val="23"/>
                <w:szCs w:val="23"/>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6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280</w:t>
            </w:r>
          </w:p>
        </w:tc>
        <w:tc>
          <w:tcPr>
            <w:tcW w:w="38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2"/>
            <w:shd w:val="clear" w:color="auto" w:fill="E5FFFF"/>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gridSpan w:val="2"/>
            <w:shd w:val="clear" w:color="auto" w:fill="E5FFFF"/>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280</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0"/>
                <w:szCs w:val="20"/>
                <w:color w:val="auto"/>
              </w:rPr>
            </w:pPr>
            <w:r>
              <w:rPr>
                <w:rFonts w:ascii="Times New Roman" w:cs="Times New Roman" w:eastAsia="Times New Roman" w:hAnsi="Times New Roman"/>
                <w:sz w:val="22"/>
                <w:szCs w:val="22"/>
                <w:color w:val="auto"/>
              </w:rPr>
              <w:t>Commodity futures (2)</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433</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433</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280</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420" w:type="dxa"/>
            <w:vAlign w:val="bottom"/>
            <w:tcBorders>
              <w:top w:val="single" w:sz="8" w:color="auto"/>
              <w:bottom w:val="single" w:sz="8" w:color="auto"/>
            </w:tcBorders>
            <w:shd w:val="clear" w:color="auto" w:fill="E5FFFF"/>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713</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900" w:type="dxa"/>
            <w:vAlign w:val="bottom"/>
            <w:vMerge w:val="continue"/>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529</w:t>
            </w:r>
          </w:p>
        </w:tc>
        <w:tc>
          <w:tcPr>
            <w:tcW w:w="3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right="460" w:hanging="328"/>
        <w:spacing w:after="0" w:line="241"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asset is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660" w:right="48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commodity futures assets and liabilities are netted with cash collateral due from broker and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660" w:right="1120" w:hanging="328"/>
        <w:spacing w:after="0" w:line="23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liability is included in “Accrued expenses and other current liabilities” on the accompanying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w:t>
      </w:r>
      <w:r>
        <w:rPr>
          <w:rFonts w:ascii="Times New Roman" w:cs="Times New Roman" w:eastAsia="Times New Roman" w:hAnsi="Times New Roman"/>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property and equipment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20" w:type="dxa"/>
            <w:vAlign w:val="bottom"/>
          </w:tcPr>
          <w:p>
            <w:pPr>
              <w:spacing w:after="0"/>
              <w:rPr>
                <w:sz w:val="21"/>
                <w:szCs w:val="21"/>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January 31,</w:t>
            </w:r>
          </w:p>
        </w:tc>
        <w:tc>
          <w:tcPr>
            <w:tcW w:w="3380" w:type="dxa"/>
            <w:vAlign w:val="bottom"/>
          </w:tcPr>
          <w:p>
            <w:pPr>
              <w:spacing w:after="0"/>
              <w:rPr>
                <w:sz w:val="21"/>
                <w:szCs w:val="21"/>
                <w:color w:val="auto"/>
              </w:rPr>
            </w:pPr>
          </w:p>
        </w:tc>
      </w:tr>
      <w:tr>
        <w:trPr>
          <w:trHeight w:val="274"/>
        </w:trPr>
        <w:tc>
          <w:tcPr>
            <w:tcW w:w="53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4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3380" w:type="dxa"/>
            <w:vAlign w:val="bottom"/>
          </w:tcPr>
          <w:p>
            <w:pPr>
              <w:spacing w:after="0"/>
              <w:rPr>
                <w:sz w:val="23"/>
                <w:szCs w:val="23"/>
                <w:color w:val="auto"/>
              </w:rPr>
            </w:pPr>
          </w:p>
        </w:tc>
      </w:tr>
      <w:tr>
        <w:trPr>
          <w:trHeight w:val="236"/>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43"/>
        </w:trPr>
        <w:tc>
          <w:tcPr>
            <w:tcW w:w="5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Land and improvements</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42,541</w:t>
            </w:r>
          </w:p>
        </w:tc>
        <w:tc>
          <w:tcPr>
            <w:tcW w:w="4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42,840</w:t>
            </w:r>
          </w:p>
        </w:tc>
        <w:tc>
          <w:tcPr>
            <w:tcW w:w="3380" w:type="dxa"/>
            <w:vAlign w:val="bottom"/>
          </w:tcPr>
          <w:p>
            <w:pPr>
              <w:spacing w:after="0"/>
              <w:rPr>
                <w:sz w:val="21"/>
                <w:szCs w:val="21"/>
                <w:color w:val="auto"/>
              </w:rPr>
            </w:pPr>
          </w:p>
        </w:tc>
      </w:tr>
      <w:tr>
        <w:trPr>
          <w:trHeight w:val="243"/>
        </w:trPr>
        <w:tc>
          <w:tcPr>
            <w:tcW w:w="5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Buildings and improvements</w:t>
            </w:r>
          </w:p>
        </w:tc>
        <w:tc>
          <w:tcPr>
            <w:tcW w:w="1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33,207</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32,839</w:t>
            </w:r>
          </w:p>
        </w:tc>
        <w:tc>
          <w:tcPr>
            <w:tcW w:w="3380" w:type="dxa"/>
            <w:vAlign w:val="bottom"/>
          </w:tcPr>
          <w:p>
            <w:pPr>
              <w:spacing w:after="0"/>
              <w:rPr>
                <w:sz w:val="21"/>
                <w:szCs w:val="21"/>
                <w:color w:val="auto"/>
              </w:rPr>
            </w:pPr>
          </w:p>
        </w:tc>
      </w:tr>
      <w:tr>
        <w:trPr>
          <w:trHeight w:val="243"/>
        </w:trPr>
        <w:tc>
          <w:tcPr>
            <w:tcW w:w="5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Machinery, equipment, and fixtures</w:t>
            </w:r>
          </w:p>
        </w:tc>
        <w:tc>
          <w:tcPr>
            <w:tcW w:w="1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372,099</w:t>
            </w:r>
          </w:p>
        </w:tc>
        <w:tc>
          <w:tcPr>
            <w:tcW w:w="4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8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371,405</w:t>
            </w:r>
          </w:p>
        </w:tc>
        <w:tc>
          <w:tcPr>
            <w:tcW w:w="3380" w:type="dxa"/>
            <w:vAlign w:val="bottom"/>
          </w:tcPr>
          <w:p>
            <w:pPr>
              <w:spacing w:after="0"/>
              <w:rPr>
                <w:sz w:val="21"/>
                <w:szCs w:val="21"/>
                <w:color w:val="auto"/>
              </w:rPr>
            </w:pPr>
          </w:p>
        </w:tc>
      </w:tr>
      <w:tr>
        <w:trPr>
          <w:trHeight w:val="256"/>
        </w:trPr>
        <w:tc>
          <w:tcPr>
            <w:tcW w:w="53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Construction in progress</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112,093</w:t>
            </w:r>
          </w:p>
        </w:tc>
        <w:tc>
          <w:tcPr>
            <w:tcW w:w="420" w:type="dxa"/>
            <w:vAlign w:val="bottom"/>
            <w:tcBorders>
              <w:bottom w:val="single" w:sz="8" w:color="E5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98,722</w:t>
            </w:r>
          </w:p>
        </w:tc>
        <w:tc>
          <w:tcPr>
            <w:tcW w:w="3380" w:type="dxa"/>
            <w:vAlign w:val="bottom"/>
          </w:tcPr>
          <w:p>
            <w:pPr>
              <w:spacing w:after="0"/>
              <w:rPr>
                <w:sz w:val="22"/>
                <w:szCs w:val="22"/>
                <w:color w:val="auto"/>
              </w:rPr>
            </w:pPr>
          </w:p>
        </w:tc>
      </w:tr>
      <w:tr>
        <w:trPr>
          <w:trHeight w:val="237"/>
        </w:trPr>
        <w:tc>
          <w:tcPr>
            <w:tcW w:w="5320" w:type="dxa"/>
            <w:vAlign w:val="bottom"/>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 property and equipment</w:t>
            </w:r>
          </w:p>
        </w:tc>
        <w:tc>
          <w:tcPr>
            <w:tcW w:w="120" w:type="dxa"/>
            <w:vAlign w:val="bottom"/>
            <w:shd w:val="clear" w:color="auto" w:fill="E5FFFF"/>
          </w:tcPr>
          <w:p>
            <w:pPr>
              <w:spacing w:after="0"/>
              <w:rPr>
                <w:sz w:val="20"/>
                <w:szCs w:val="20"/>
                <w:color w:val="auto"/>
              </w:rPr>
            </w:pPr>
          </w:p>
        </w:tc>
        <w:tc>
          <w:tcPr>
            <w:tcW w:w="84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559,940</w:t>
            </w:r>
          </w:p>
        </w:tc>
        <w:tc>
          <w:tcPr>
            <w:tcW w:w="42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980" w:type="dxa"/>
            <w:vAlign w:val="bottom"/>
            <w:tcBorders>
              <w:right w:val="single" w:sz="8" w:color="E5FFFF"/>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545,806</w:t>
            </w:r>
          </w:p>
        </w:tc>
        <w:tc>
          <w:tcPr>
            <w:tcW w:w="3380" w:type="dxa"/>
            <w:vAlign w:val="bottom"/>
          </w:tcPr>
          <w:p>
            <w:pPr>
              <w:spacing w:after="0"/>
              <w:rPr>
                <w:sz w:val="20"/>
                <w:szCs w:val="20"/>
                <w:color w:val="auto"/>
              </w:rPr>
            </w:pPr>
          </w:p>
        </w:tc>
      </w:tr>
      <w:tr>
        <w:trPr>
          <w:trHeight w:val="256"/>
        </w:trPr>
        <w:tc>
          <w:tcPr>
            <w:tcW w:w="53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Less: Accumulated depreciation</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5"/>
              </w:rPr>
              <w:t>(277,899)</w:t>
            </w:r>
          </w:p>
        </w:tc>
        <w:tc>
          <w:tcPr>
            <w:tcW w:w="420" w:type="dxa"/>
            <w:vAlign w:val="bottom"/>
            <w:tcBorders>
              <w:bottom w:val="single" w:sz="8" w:color="E5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(273,777)</w:t>
            </w:r>
          </w:p>
        </w:tc>
        <w:tc>
          <w:tcPr>
            <w:tcW w:w="3380" w:type="dxa"/>
            <w:vAlign w:val="bottom"/>
          </w:tcPr>
          <w:p>
            <w:pPr>
              <w:spacing w:after="0"/>
              <w:rPr>
                <w:sz w:val="22"/>
                <w:szCs w:val="22"/>
                <w:color w:val="auto"/>
              </w:rPr>
            </w:pPr>
          </w:p>
        </w:tc>
      </w:tr>
      <w:tr>
        <w:trPr>
          <w:trHeight w:val="250"/>
        </w:trPr>
        <w:tc>
          <w:tcPr>
            <w:tcW w:w="5320" w:type="dxa"/>
            <w:vAlign w:val="bottom"/>
            <w:tcBorders>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2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282,041</w:t>
            </w:r>
          </w:p>
        </w:tc>
        <w:tc>
          <w:tcPr>
            <w:tcW w:w="420" w:type="dxa"/>
            <w:vAlign w:val="bottom"/>
            <w:tcBorders>
              <w:bottom w:val="single" w:sz="8" w:color="E5FFFF"/>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auto"/>
              <w:right w:val="single" w:sz="8" w:color="E5FFFF"/>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272,029</w:t>
            </w:r>
          </w:p>
        </w:tc>
        <w:tc>
          <w:tcPr>
            <w:tcW w:w="3380" w:type="dxa"/>
            <w:vAlign w:val="bottom"/>
          </w:tcPr>
          <w:p>
            <w:pPr>
              <w:spacing w:after="0"/>
              <w:rPr>
                <w:sz w:val="21"/>
                <w:szCs w:val="2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4"/>
        </w:trPr>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18</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8"/>
        </w:trPr>
        <w:tc>
          <w:tcPr>
            <w:tcW w:w="53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3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auto"/>
        </w:rPr>
        <w:t xml:space="preserve">Note 7. </w:t>
      </w:r>
      <w:r>
        <w:rPr>
          <w:rFonts w:ascii="Times New Roman" w:cs="Times New Roman" w:eastAsia="Times New Roman" w:hAnsi="Times New Roman"/>
          <w:sz w:val="22"/>
          <w:szCs w:val="22"/>
          <w:b w:val="1"/>
          <w:bCs w:val="1"/>
          <w:i w:val="1"/>
          <w:iCs w:val="1"/>
          <w:color w:val="auto"/>
        </w:rPr>
        <w:t>Other Assets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other assets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54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99"/>
              </w:rPr>
              <w:t>2026</w:t>
            </w:r>
          </w:p>
        </w:tc>
        <w:tc>
          <w:tcPr>
            <w:tcW w:w="4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60" w:type="dxa"/>
            <w:vAlign w:val="bottom"/>
          </w:tcPr>
          <w:p>
            <w:pPr>
              <w:spacing w:after="0"/>
              <w:rPr>
                <w:sz w:val="23"/>
                <w:szCs w:val="23"/>
                <w:color w:val="auto"/>
              </w:rPr>
            </w:pPr>
          </w:p>
        </w:tc>
      </w:tr>
      <w:tr>
        <w:trPr>
          <w:trHeight w:val="237"/>
        </w:trPr>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Deferred taxes</w:t>
            </w:r>
          </w:p>
        </w:tc>
        <w:tc>
          <w:tcPr>
            <w:tcW w:w="1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7,767</w:t>
            </w:r>
          </w:p>
        </w:tc>
        <w:tc>
          <w:tcPr>
            <w:tcW w:w="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3,974</w:t>
            </w:r>
          </w:p>
        </w:tc>
        <w:tc>
          <w:tcPr>
            <w:tcW w:w="60" w:type="dxa"/>
            <w:vAlign w:val="bottom"/>
            <w:shd w:val="clear" w:color="auto" w:fill="E5FFFF"/>
          </w:tcPr>
          <w:p>
            <w:pPr>
              <w:spacing w:after="0"/>
              <w:rPr>
                <w:sz w:val="21"/>
                <w:szCs w:val="21"/>
                <w:color w:val="auto"/>
              </w:rPr>
            </w:pPr>
          </w:p>
        </w:tc>
      </w:tr>
      <w:tr>
        <w:trPr>
          <w:trHeight w:val="243"/>
        </w:trPr>
        <w:tc>
          <w:tcPr>
            <w:tcW w:w="5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Production tax credit</w:t>
            </w:r>
          </w:p>
        </w:tc>
        <w:tc>
          <w:tcPr>
            <w:tcW w:w="160" w:type="dxa"/>
            <w:vAlign w:val="bottom"/>
          </w:tcPr>
          <w:p>
            <w:pPr>
              <w:spacing w:after="0"/>
              <w:rPr>
                <w:sz w:val="21"/>
                <w:szCs w:val="21"/>
                <w:color w:val="auto"/>
              </w:rPr>
            </w:pPr>
          </w:p>
        </w:tc>
        <w:tc>
          <w:tcPr>
            <w:tcW w:w="110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970</w:t>
            </w:r>
          </w:p>
        </w:tc>
        <w:tc>
          <w:tcPr>
            <w:tcW w:w="2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1"/>
                <w:szCs w:val="21"/>
                <w:color w:val="auto"/>
              </w:rPr>
            </w:pPr>
          </w:p>
        </w:tc>
      </w:tr>
      <w:tr>
        <w:trPr>
          <w:trHeight w:val="257"/>
        </w:trPr>
        <w:tc>
          <w:tcPr>
            <w:tcW w:w="54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Other</w:t>
            </w:r>
          </w:p>
        </w:tc>
        <w:tc>
          <w:tcPr>
            <w:tcW w:w="160" w:type="dxa"/>
            <w:vAlign w:val="bottom"/>
            <w:shd w:val="clear" w:color="auto" w:fill="E5FFFF"/>
          </w:tcPr>
          <w:p>
            <w:pPr>
              <w:spacing w:after="0"/>
              <w:rPr>
                <w:sz w:val="22"/>
                <w:szCs w:val="22"/>
                <w:color w:val="auto"/>
              </w:rPr>
            </w:pPr>
          </w:p>
        </w:tc>
        <w:tc>
          <w:tcPr>
            <w:tcW w:w="110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1,113</w:t>
            </w:r>
          </w:p>
        </w:tc>
        <w:tc>
          <w:tcPr>
            <w:tcW w:w="220" w:type="dxa"/>
            <w:vAlign w:val="bottom"/>
            <w:shd w:val="clear" w:color="auto" w:fill="E5FFFF"/>
          </w:tcPr>
          <w:p>
            <w:pPr>
              <w:spacing w:after="0"/>
              <w:rPr>
                <w:sz w:val="22"/>
                <w:szCs w:val="22"/>
                <w:color w:val="auto"/>
              </w:rPr>
            </w:pP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989</w:t>
            </w:r>
          </w:p>
        </w:tc>
        <w:tc>
          <w:tcPr>
            <w:tcW w:w="60" w:type="dxa"/>
            <w:vAlign w:val="bottom"/>
            <w:shd w:val="clear" w:color="auto" w:fill="E5FFFF"/>
          </w:tcPr>
          <w:p>
            <w:pPr>
              <w:spacing w:after="0"/>
              <w:rPr>
                <w:sz w:val="22"/>
                <w:szCs w:val="22"/>
                <w:color w:val="auto"/>
              </w:rPr>
            </w:pPr>
          </w:p>
        </w:tc>
      </w:tr>
      <w:tr>
        <w:trPr>
          <w:trHeight w:val="250"/>
        </w:trPr>
        <w:tc>
          <w:tcPr>
            <w:tcW w:w="54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6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9,850</w:t>
            </w:r>
          </w:p>
        </w:tc>
        <w:tc>
          <w:tcPr>
            <w:tcW w:w="4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4,963</w:t>
            </w:r>
          </w:p>
        </w:tc>
        <w:tc>
          <w:tcPr>
            <w:tcW w:w="6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In the three months ended April 30, 2026, the Company recorded $6.6 million in production tax credit income to be utilized to reduce future tax payments and as such, has recorded the corresponding asset within the deferred tax asset line above. The $970,000 in the table above represents the noncontrolling interests portion of the production tax credit income that has not yet been distributed to those shareholders.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w:t>
      </w:r>
      <w:r>
        <w:rPr>
          <w:rFonts w:ascii="Times New Roman" w:cs="Times New Roman" w:eastAsia="Times New Roman" w:hAnsi="Times New Roman"/>
          <w:sz w:val="22"/>
          <w:szCs w:val="22"/>
          <w:b w:val="1"/>
          <w:bCs w:val="1"/>
          <w:i w:val="1"/>
          <w:iCs w:val="1"/>
          <w:color w:val="auto"/>
        </w:rPr>
        <w:t>Accrued Expenses and Other Current Liabilities</w:t>
      </w:r>
    </w:p>
    <w:p>
      <w:pPr>
        <w:spacing w:after="0" w:line="23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accrued expenses and other current liabilities are as follows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54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99"/>
              </w:rPr>
              <w:t>2026</w:t>
            </w:r>
          </w:p>
        </w:tc>
        <w:tc>
          <w:tcPr>
            <w:tcW w:w="4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60" w:type="dxa"/>
            <w:vAlign w:val="bottom"/>
          </w:tcPr>
          <w:p>
            <w:pPr>
              <w:spacing w:after="0"/>
              <w:rPr>
                <w:sz w:val="23"/>
                <w:szCs w:val="23"/>
                <w:color w:val="auto"/>
              </w:rPr>
            </w:pPr>
          </w:p>
        </w:tc>
      </w:tr>
      <w:tr>
        <w:trPr>
          <w:trHeight w:val="237"/>
        </w:trPr>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payroll and related items</w:t>
            </w:r>
          </w:p>
        </w:tc>
        <w:tc>
          <w:tcPr>
            <w:tcW w:w="1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11,365</w:t>
            </w:r>
          </w:p>
        </w:tc>
        <w:tc>
          <w:tcPr>
            <w:tcW w:w="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15,056</w:t>
            </w:r>
          </w:p>
        </w:tc>
        <w:tc>
          <w:tcPr>
            <w:tcW w:w="60" w:type="dxa"/>
            <w:vAlign w:val="bottom"/>
            <w:shd w:val="clear" w:color="auto" w:fill="E5FFFF"/>
          </w:tcPr>
          <w:p>
            <w:pPr>
              <w:spacing w:after="0"/>
              <w:rPr>
                <w:sz w:val="21"/>
                <w:szCs w:val="21"/>
                <w:color w:val="auto"/>
              </w:rPr>
            </w:pPr>
          </w:p>
        </w:tc>
      </w:tr>
      <w:tr>
        <w:trPr>
          <w:trHeight w:val="243"/>
        </w:trPr>
        <w:tc>
          <w:tcPr>
            <w:tcW w:w="5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utility charges</w:t>
            </w:r>
          </w:p>
        </w:tc>
        <w:tc>
          <w:tcPr>
            <w:tcW w:w="160" w:type="dxa"/>
            <w:vAlign w:val="bottom"/>
          </w:tcPr>
          <w:p>
            <w:pPr>
              <w:spacing w:after="0"/>
              <w:rPr>
                <w:sz w:val="21"/>
                <w:szCs w:val="21"/>
                <w:color w:val="auto"/>
              </w:rPr>
            </w:pPr>
          </w:p>
        </w:tc>
        <w:tc>
          <w:tcPr>
            <w:tcW w:w="110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2,707</w:t>
            </w:r>
          </w:p>
        </w:tc>
        <w:tc>
          <w:tcPr>
            <w:tcW w:w="2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3,870</w:t>
            </w:r>
          </w:p>
        </w:tc>
        <w:tc>
          <w:tcPr>
            <w:tcW w:w="60" w:type="dxa"/>
            <w:vAlign w:val="bottom"/>
          </w:tcPr>
          <w:p>
            <w:pPr>
              <w:spacing w:after="0"/>
              <w:rPr>
                <w:sz w:val="21"/>
                <w:szCs w:val="21"/>
                <w:color w:val="auto"/>
              </w:rPr>
            </w:pPr>
          </w:p>
        </w:tc>
      </w:tr>
      <w:tr>
        <w:trPr>
          <w:trHeight w:val="243"/>
        </w:trPr>
        <w:tc>
          <w:tcPr>
            <w:tcW w:w="5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capital expenditures</w:t>
            </w:r>
          </w:p>
        </w:tc>
        <w:tc>
          <w:tcPr>
            <w:tcW w:w="1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7,470</w:t>
            </w:r>
          </w:p>
        </w:tc>
        <w:tc>
          <w:tcPr>
            <w:tcW w:w="22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5,563</w:t>
            </w:r>
          </w:p>
        </w:tc>
        <w:tc>
          <w:tcPr>
            <w:tcW w:w="60" w:type="dxa"/>
            <w:vAlign w:val="bottom"/>
            <w:shd w:val="clear" w:color="auto" w:fill="E5FFFF"/>
          </w:tcPr>
          <w:p>
            <w:pPr>
              <w:spacing w:after="0"/>
              <w:rPr>
                <w:sz w:val="21"/>
                <w:szCs w:val="21"/>
                <w:color w:val="auto"/>
              </w:rPr>
            </w:pPr>
          </w:p>
        </w:tc>
      </w:tr>
      <w:tr>
        <w:trPr>
          <w:trHeight w:val="243"/>
        </w:trPr>
        <w:tc>
          <w:tcPr>
            <w:tcW w:w="5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transportation related items</w:t>
            </w:r>
          </w:p>
        </w:tc>
        <w:tc>
          <w:tcPr>
            <w:tcW w:w="160" w:type="dxa"/>
            <w:vAlign w:val="bottom"/>
          </w:tcPr>
          <w:p>
            <w:pPr>
              <w:spacing w:after="0"/>
              <w:rPr>
                <w:sz w:val="21"/>
                <w:szCs w:val="21"/>
                <w:color w:val="auto"/>
              </w:rPr>
            </w:pPr>
          </w:p>
        </w:tc>
        <w:tc>
          <w:tcPr>
            <w:tcW w:w="110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337</w:t>
            </w:r>
          </w:p>
        </w:tc>
        <w:tc>
          <w:tcPr>
            <w:tcW w:w="2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286</w:t>
            </w:r>
          </w:p>
        </w:tc>
        <w:tc>
          <w:tcPr>
            <w:tcW w:w="60" w:type="dxa"/>
            <w:vAlign w:val="bottom"/>
          </w:tcPr>
          <w:p>
            <w:pPr>
              <w:spacing w:after="0"/>
              <w:rPr>
                <w:sz w:val="21"/>
                <w:szCs w:val="21"/>
                <w:color w:val="auto"/>
              </w:rPr>
            </w:pPr>
          </w:p>
        </w:tc>
      </w:tr>
      <w:tr>
        <w:trPr>
          <w:trHeight w:val="243"/>
        </w:trPr>
        <w:tc>
          <w:tcPr>
            <w:tcW w:w="5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real estate taxes</w:t>
            </w:r>
          </w:p>
        </w:tc>
        <w:tc>
          <w:tcPr>
            <w:tcW w:w="1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1,795</w:t>
            </w:r>
          </w:p>
        </w:tc>
        <w:tc>
          <w:tcPr>
            <w:tcW w:w="22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1,581</w:t>
            </w:r>
          </w:p>
        </w:tc>
        <w:tc>
          <w:tcPr>
            <w:tcW w:w="60" w:type="dxa"/>
            <w:vAlign w:val="bottom"/>
            <w:shd w:val="clear" w:color="auto" w:fill="E5FFFF"/>
          </w:tcPr>
          <w:p>
            <w:pPr>
              <w:spacing w:after="0"/>
              <w:rPr>
                <w:sz w:val="21"/>
                <w:szCs w:val="21"/>
                <w:color w:val="auto"/>
              </w:rPr>
            </w:pPr>
          </w:p>
        </w:tc>
      </w:tr>
      <w:tr>
        <w:trPr>
          <w:trHeight w:val="243"/>
        </w:trPr>
        <w:tc>
          <w:tcPr>
            <w:tcW w:w="5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w:t>
            </w:r>
          </w:p>
        </w:tc>
        <w:tc>
          <w:tcPr>
            <w:tcW w:w="160" w:type="dxa"/>
            <w:vAlign w:val="bottom"/>
          </w:tcPr>
          <w:p>
            <w:pPr>
              <w:spacing w:after="0"/>
              <w:rPr>
                <w:sz w:val="21"/>
                <w:szCs w:val="21"/>
                <w:color w:val="auto"/>
              </w:rPr>
            </w:pPr>
          </w:p>
        </w:tc>
        <w:tc>
          <w:tcPr>
            <w:tcW w:w="110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625</w:t>
            </w:r>
          </w:p>
        </w:tc>
        <w:tc>
          <w:tcPr>
            <w:tcW w:w="2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529</w:t>
            </w:r>
          </w:p>
        </w:tc>
        <w:tc>
          <w:tcPr>
            <w:tcW w:w="60" w:type="dxa"/>
            <w:vAlign w:val="bottom"/>
          </w:tcPr>
          <w:p>
            <w:pPr>
              <w:spacing w:after="0"/>
              <w:rPr>
                <w:sz w:val="21"/>
                <w:szCs w:val="21"/>
                <w:color w:val="auto"/>
              </w:rPr>
            </w:pPr>
          </w:p>
        </w:tc>
      </w:tr>
      <w:tr>
        <w:trPr>
          <w:trHeight w:val="256"/>
        </w:trPr>
        <w:tc>
          <w:tcPr>
            <w:tcW w:w="54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Other</w:t>
            </w:r>
          </w:p>
        </w:tc>
        <w:tc>
          <w:tcPr>
            <w:tcW w:w="160" w:type="dxa"/>
            <w:vAlign w:val="bottom"/>
            <w:shd w:val="clear" w:color="auto" w:fill="E5FFFF"/>
          </w:tcPr>
          <w:p>
            <w:pPr>
              <w:spacing w:after="0"/>
              <w:rPr>
                <w:sz w:val="22"/>
                <w:szCs w:val="22"/>
                <w:color w:val="auto"/>
              </w:rPr>
            </w:pPr>
          </w:p>
        </w:tc>
        <w:tc>
          <w:tcPr>
            <w:tcW w:w="110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2,494</w:t>
            </w:r>
          </w:p>
        </w:tc>
        <w:tc>
          <w:tcPr>
            <w:tcW w:w="220" w:type="dxa"/>
            <w:vAlign w:val="bottom"/>
            <w:shd w:val="clear" w:color="auto" w:fill="E5FFFF"/>
          </w:tcPr>
          <w:p>
            <w:pPr>
              <w:spacing w:after="0"/>
              <w:rPr>
                <w:sz w:val="22"/>
                <w:szCs w:val="22"/>
                <w:color w:val="auto"/>
              </w:rPr>
            </w:pPr>
          </w:p>
        </w:tc>
        <w:tc>
          <w:tcPr>
            <w:tcW w:w="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2,702</w:t>
            </w:r>
          </w:p>
        </w:tc>
        <w:tc>
          <w:tcPr>
            <w:tcW w:w="60" w:type="dxa"/>
            <w:vAlign w:val="bottom"/>
            <w:shd w:val="clear" w:color="auto" w:fill="E5FFFF"/>
          </w:tcPr>
          <w:p>
            <w:pPr>
              <w:spacing w:after="0"/>
              <w:rPr>
                <w:sz w:val="22"/>
                <w:szCs w:val="22"/>
                <w:color w:val="auto"/>
              </w:rPr>
            </w:pPr>
          </w:p>
        </w:tc>
      </w:tr>
      <w:tr>
        <w:trPr>
          <w:trHeight w:val="250"/>
        </w:trPr>
        <w:tc>
          <w:tcPr>
            <w:tcW w:w="54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6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26,793</w:t>
            </w:r>
          </w:p>
        </w:tc>
        <w:tc>
          <w:tcPr>
            <w:tcW w:w="4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29,587</w:t>
            </w:r>
          </w:p>
        </w:tc>
        <w:tc>
          <w:tcPr>
            <w:tcW w:w="6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w:t>
      </w:r>
      <w:r>
        <w:rPr>
          <w:rFonts w:ascii="Times New Roman" w:cs="Times New Roman" w:eastAsia="Times New Roman" w:hAnsi="Times New Roman"/>
          <w:sz w:val="22"/>
          <w:szCs w:val="22"/>
          <w:b w:val="1"/>
          <w:bCs w:val="1"/>
          <w:i w:val="1"/>
          <w:iCs w:val="1"/>
          <w:color w:val="auto"/>
        </w:rPr>
        <w:t>Derivative Financial Instruments</w:t>
      </w:r>
    </w:p>
    <w:p>
      <w:pPr>
        <w:spacing w:after="0" w:line="239"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00"/>
          </w:cols>
          <w:pgMar w:left="320" w:top="390" w:right="479" w:bottom="1440" w:gutter="0" w:footer="0" w:header="0"/>
        </w:sectPr>
      </w:pPr>
    </w:p>
    <w:bookmarkStart w:id="19" w:name="page20"/>
    <w:bookmarkEnd w:id="19"/>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the fair values of the Company’s derivative financial instruments (that are not accounted for under the “normal purchases and normal sales” scope exemption of ASC 815) and the line items on the Consolidated Balance Sheets in which the fair values are reflected (amounts in table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40" w:type="dxa"/>
            <w:vAlign w:val="bottom"/>
            <w:gridSpan w:val="3"/>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Asset Derivatives</w:t>
            </w: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80" w:type="dxa"/>
            <w:vAlign w:val="bottom"/>
            <w:gridSpan w:val="3"/>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Liability Derivatives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gridSpan w:val="3"/>
          </w:tcPr>
          <w:p>
            <w:pPr>
              <w:jc w:val="right"/>
              <w:ind w:right="512"/>
              <w:spacing w:after="0" w:line="243" w:lineRule="exact"/>
              <w:rPr>
                <w:sz w:val="20"/>
                <w:szCs w:val="20"/>
                <w:color w:val="auto"/>
              </w:rPr>
            </w:pPr>
            <w:r>
              <w:rPr>
                <w:rFonts w:ascii="Times New Roman" w:cs="Times New Roman" w:eastAsia="Times New Roman" w:hAnsi="Times New Roman"/>
                <w:sz w:val="22"/>
                <w:szCs w:val="22"/>
                <w:b w:val="1"/>
                <w:bCs w:val="1"/>
                <w:color w:val="auto"/>
              </w:rPr>
              <w:t>Fair Value</w:t>
            </w: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3"/>
          </w:tcPr>
          <w:p>
            <w:pPr>
              <w:jc w:val="right"/>
              <w:ind w:right="492"/>
              <w:spacing w:after="0" w:line="243" w:lineRule="exact"/>
              <w:rPr>
                <w:sz w:val="20"/>
                <w:szCs w:val="20"/>
                <w:color w:val="auto"/>
              </w:rPr>
            </w:pPr>
            <w:r>
              <w:rPr>
                <w:rFonts w:ascii="Times New Roman" w:cs="Times New Roman" w:eastAsia="Times New Roman" w:hAnsi="Times New Roman"/>
                <w:sz w:val="22"/>
                <w:szCs w:val="22"/>
                <w:b w:val="1"/>
                <w:bCs w:val="1"/>
                <w:color w:val="auto"/>
              </w:rPr>
              <w:t>Fair Value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460" w:type="dxa"/>
            <w:vAlign w:val="bottom"/>
          </w:tcPr>
          <w:p>
            <w:pPr>
              <w:spacing w:after="0"/>
              <w:rPr>
                <w:sz w:val="21"/>
                <w:szCs w:val="21"/>
                <w:color w:val="auto"/>
              </w:rPr>
            </w:pPr>
          </w:p>
        </w:tc>
        <w:tc>
          <w:tcPr>
            <w:tcW w:w="168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c>
          <w:tcPr>
            <w:tcW w:w="160" w:type="dxa"/>
            <w:vAlign w:val="bottom"/>
          </w:tcPr>
          <w:p>
            <w:pPr>
              <w:spacing w:after="0"/>
              <w:rPr>
                <w:sz w:val="21"/>
                <w:szCs w:val="21"/>
                <w:color w:val="auto"/>
              </w:rPr>
            </w:pPr>
          </w:p>
        </w:tc>
        <w:tc>
          <w:tcPr>
            <w:tcW w:w="108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420" w:type="dxa"/>
            <w:vAlign w:val="bottom"/>
          </w:tcPr>
          <w:p>
            <w:pPr>
              <w:spacing w:after="0"/>
              <w:rPr>
                <w:sz w:val="21"/>
                <w:szCs w:val="21"/>
                <w:color w:val="auto"/>
              </w:rPr>
            </w:pPr>
          </w:p>
        </w:tc>
        <w:tc>
          <w:tcPr>
            <w:tcW w:w="134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4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2026</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2026</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48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(1)</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708</w:t>
            </w:r>
          </w:p>
        </w:tc>
        <w:tc>
          <w:tcPr>
            <w:tcW w:w="1340" w:type="dxa"/>
            <w:vAlign w:val="bottom"/>
            <w:gridSpan w:val="2"/>
            <w:shd w:val="clear" w:color="auto" w:fill="E5FFFF"/>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280</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625</w:t>
            </w:r>
          </w:p>
        </w:tc>
        <w:tc>
          <w:tcPr>
            <w:tcW w:w="1300" w:type="dxa"/>
            <w:vAlign w:val="bottom"/>
            <w:gridSpan w:val="2"/>
            <w:shd w:val="clear" w:color="auto" w:fill="E5FFFF"/>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529</w:t>
            </w:r>
          </w:p>
        </w:tc>
      </w:tr>
      <w:tr>
        <w:trPr>
          <w:trHeight w:val="486"/>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Cash collateral balance (2)</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2,026</w:t>
            </w:r>
          </w:p>
        </w:tc>
        <w:tc>
          <w:tcPr>
            <w:tcW w:w="134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180</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gridSpan w:val="2"/>
          </w:tcPr>
          <w:p>
            <w:pPr>
              <w:jc w:val="right"/>
              <w:ind w:right="652"/>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Commodity futures (3)</w:t>
            </w:r>
          </w:p>
        </w:tc>
        <w:tc>
          <w:tcPr>
            <w:tcW w:w="160" w:type="dxa"/>
            <w:vAlign w:val="bottom"/>
            <w:shd w:val="clear" w:color="auto" w:fill="E5FFFF"/>
          </w:tcPr>
          <w:p>
            <w:pPr>
              <w:spacing w:after="0"/>
              <w:rPr>
                <w:sz w:val="22"/>
                <w:szCs w:val="22"/>
                <w:color w:val="auto"/>
              </w:rPr>
            </w:pP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(650)</w:t>
            </w:r>
          </w:p>
        </w:tc>
        <w:tc>
          <w:tcPr>
            <w:tcW w:w="46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80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433</w:t>
            </w:r>
          </w:p>
        </w:tc>
        <w:tc>
          <w:tcPr>
            <w:tcW w:w="160" w:type="dxa"/>
            <w:vAlign w:val="bottom"/>
            <w:shd w:val="clear" w:color="auto" w:fill="E5FFFF"/>
          </w:tcPr>
          <w:p>
            <w:pPr>
              <w:spacing w:after="0"/>
              <w:rPr>
                <w:sz w:val="22"/>
                <w:szCs w:val="22"/>
                <w:color w:val="auto"/>
              </w:rPr>
            </w:pPr>
          </w:p>
        </w:tc>
        <w:tc>
          <w:tcPr>
            <w:tcW w:w="10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4840" w:type="dxa"/>
            <w:vAlign w:val="bottom"/>
          </w:tcPr>
          <w:p>
            <w:pPr>
              <w:ind w:left="180"/>
              <w:spacing w:after="0" w:line="237" w:lineRule="exact"/>
              <w:rPr>
                <w:sz w:val="20"/>
                <w:szCs w:val="20"/>
                <w:color w:val="auto"/>
              </w:rPr>
            </w:pPr>
            <w:r>
              <w:rPr>
                <w:rFonts w:ascii="Times New Roman" w:cs="Times New Roman" w:eastAsia="Times New Roman" w:hAnsi="Times New Roman"/>
                <w:sz w:val="22"/>
                <w:szCs w:val="22"/>
                <w:color w:val="auto"/>
              </w:rPr>
              <w:t>Net position with broker</w:t>
            </w:r>
          </w:p>
        </w:tc>
        <w:tc>
          <w:tcPr>
            <w:tcW w:w="1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1,376</w:t>
            </w:r>
          </w:p>
        </w:tc>
        <w:tc>
          <w:tcPr>
            <w:tcW w:w="4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67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3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613</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6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3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0"/>
                <w:szCs w:val="20"/>
                <w:color w:val="auto"/>
              </w:rPr>
            </w:pPr>
          </w:p>
        </w:tc>
      </w:tr>
      <w:tr>
        <w:trPr>
          <w:trHeight w:val="236"/>
        </w:trPr>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Total</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2,084</w:t>
            </w:r>
          </w:p>
        </w:tc>
        <w:tc>
          <w:tcPr>
            <w:tcW w:w="1340" w:type="dxa"/>
            <w:vAlign w:val="bottom"/>
            <w:gridSpan w:val="2"/>
            <w:shd w:val="clear" w:color="auto" w:fill="E5FFFF"/>
          </w:tcPr>
          <w:p>
            <w:pPr>
              <w:jc w:val="right"/>
              <w:ind w:right="672"/>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893</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625</w:t>
            </w:r>
          </w:p>
        </w:tc>
        <w:tc>
          <w:tcPr>
            <w:tcW w:w="1300" w:type="dxa"/>
            <w:vAlign w:val="bottom"/>
            <w:gridSpan w:val="2"/>
            <w:shd w:val="clear" w:color="auto" w:fill="E5FFFF"/>
          </w:tcPr>
          <w:p>
            <w:pPr>
              <w:jc w:val="right"/>
              <w:ind w:right="652"/>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529</w:t>
            </w:r>
          </w:p>
        </w:tc>
      </w:tr>
      <w:tr>
        <w:trPr>
          <w:trHeight w:val="20"/>
        </w:trPr>
        <w:tc>
          <w:tcPr>
            <w:tcW w:w="48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16" w:lineRule="exact"/>
        <w:rPr>
          <w:sz w:val="20"/>
          <w:szCs w:val="20"/>
          <w:color w:val="auto"/>
        </w:rPr>
      </w:pPr>
    </w:p>
    <w:p>
      <w:pPr>
        <w:ind w:left="660" w:right="180" w:hanging="328"/>
        <w:spacing w:after="0" w:line="244"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assets are included in “Prepaid expenses and other” on the accompanying Consolidated Balance Sheets. These contracts are for purchases of approximately 10.6 million and 8.8 million bushels of corn at April 30, 2026 and January 31, 2026, respectively.</w:t>
      </w:r>
    </w:p>
    <w:p>
      <w:pPr>
        <w:spacing w:after="0" w:line="200" w:lineRule="exact"/>
        <w:rPr>
          <w:rFonts w:ascii="Times New Roman" w:cs="Times New Roman" w:eastAsia="Times New Roman" w:hAnsi="Times New Roman"/>
          <w:sz w:val="22"/>
          <w:szCs w:val="22"/>
          <w:color w:val="auto"/>
        </w:rPr>
      </w:pPr>
    </w:p>
    <w:p>
      <w:pPr>
        <w:ind w:left="660" w:right="44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liabilities are included in “Accrued expenses and other current liabilities” on the accompanying Consolidated Balance Sheets. These contracts are for purchases of approximately 13.1 million and 9.6 million bushels of corn at April 30, 2026 and January 31, 2026, respectively.</w:t>
      </w:r>
    </w:p>
    <w:p>
      <w:pPr>
        <w:spacing w:after="0" w:line="200" w:lineRule="exact"/>
        <w:rPr>
          <w:rFonts w:ascii="Times New Roman" w:cs="Times New Roman" w:eastAsia="Times New Roman" w:hAnsi="Times New Roman"/>
          <w:sz w:val="22"/>
          <w:szCs w:val="22"/>
          <w:color w:val="auto"/>
        </w:rPr>
      </w:pPr>
    </w:p>
    <w:p>
      <w:pPr>
        <w:ind w:left="660" w:right="180" w:hanging="328"/>
        <w:spacing w:after="0" w:line="236"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April 30, 2026 and January 31, 2026, all of the derivative financial instruments held by the Company were subject to enforceable master netting arrangements. The Company’s accounting policy is to offset position amounts owed or owing with the same counterparty. Depending on the amount of unrealized gains and losses on derivative contracts held by the Company, the counterparty may require collateral to secure the Company’s derivative contract positions. As of April 30, 2026 and January 31, 2026, the Company recorded this collateral balance within “Prepaid expenses and other” on the accompanying Consolidated Balance Sheets.</w:t>
      </w:r>
    </w:p>
    <w:p>
      <w:pPr>
        <w:spacing w:after="0" w:line="208" w:lineRule="exact"/>
        <w:rPr>
          <w:rFonts w:ascii="Times New Roman" w:cs="Times New Roman" w:eastAsia="Times New Roman" w:hAnsi="Times New Roman"/>
          <w:sz w:val="22"/>
          <w:szCs w:val="22"/>
          <w:color w:val="auto"/>
        </w:rPr>
      </w:pPr>
    </w:p>
    <w:p>
      <w:pPr>
        <w:ind w:left="660" w:hanging="328"/>
        <w:spacing w:after="0" w:line="238"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futures assets and liabilities are included in “Prepaid expenses and other” on the accompanying Consolidated Balance Sheets. These contracts included short/sell positions and long-buy positions for approximately 6.9 million and 5.7 million bushels of corn, respectively, at April 30, 2026. These contracts also included short/sell positions for approximately 630,000 gallons of ethanol at April 30, 2026. These contracts included short/sell positions and long/buy positions for approximately 2.4 million and 1.8 million bushels of corn, respectively, at January 31, 2026.</w:t>
      </w:r>
    </w:p>
    <w:p>
      <w:pPr>
        <w:spacing w:after="0" w:line="20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Note 5 which contains fair value information related to derivative financial instruments.</w:t>
      </w:r>
    </w:p>
    <w:p>
      <w:pPr>
        <w:spacing w:after="0" w:line="233" w:lineRule="exact"/>
        <w:rPr>
          <w:sz w:val="20"/>
          <w:szCs w:val="20"/>
          <w:color w:val="auto"/>
        </w:rPr>
      </w:pPr>
    </w:p>
    <w:p>
      <w:pPr>
        <w:ind w:right="60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provides information about (losses) gains recognized in income from the Company’s derivative financial instruments and the line items on the accompanying Consolidated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0" w:name="page21"/>
    <w:bookmarkEnd w:id="20"/>
    <w:p>
      <w:pPr>
        <w:ind w:right="220"/>
        <w:spacing w:after="0" w:line="258" w:lineRule="auto"/>
        <w:rPr>
          <w:sz w:val="20"/>
          <w:szCs w:val="20"/>
          <w:color w:val="auto"/>
        </w:rPr>
      </w:pPr>
      <w:r>
        <w:rPr>
          <w:rFonts w:ascii="Times New Roman" w:cs="Times New Roman" w:eastAsia="Times New Roman" w:hAnsi="Times New Roman"/>
          <w:sz w:val="22"/>
          <w:szCs w:val="22"/>
          <w:color w:val="auto"/>
        </w:rPr>
        <w:t>Statements of Operations in which the fair values are reflected for the three months ended April 30, 2026 and 2025 (amounts in thousands):</w:t>
      </w:r>
    </w:p>
    <w:p>
      <w:pPr>
        <w:spacing w:after="0" w:line="181"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22"/>
          <w:szCs w:val="22"/>
          <w:b w:val="1"/>
          <w:bCs w:val="1"/>
          <w:color w:val="auto"/>
        </w:rPr>
        <w:t>Three Months Ended</w:t>
      </w:r>
    </w:p>
    <w:p>
      <w:pPr>
        <w:spacing w:after="0" w:line="8"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22"/>
          <w:szCs w:val="22"/>
          <w:b w:val="1"/>
          <w:bCs w:val="1"/>
          <w:color w:val="auto"/>
        </w:rPr>
        <w:t>April 30,</w:t>
      </w:r>
    </w:p>
    <w:p>
      <w:pPr>
        <w:ind w:left="5960"/>
        <w:spacing w:after="0"/>
        <w:tabs>
          <w:tab w:leader="none" w:pos="7180" w:val="left"/>
        </w:tabs>
        <w:rPr>
          <w:sz w:val="20"/>
          <w:szCs w:val="20"/>
          <w:color w:val="auto"/>
        </w:rPr>
      </w:pPr>
      <w:r>
        <w:rPr>
          <w:rFonts w:ascii="Times New Roman" w:cs="Times New Roman" w:eastAsia="Times New Roman" w:hAnsi="Times New Roman"/>
          <w:sz w:val="22"/>
          <w:szCs w:val="22"/>
          <w:b w:val="1"/>
          <w:bCs w:val="1"/>
          <w:color w:val="auto"/>
        </w:rPr>
        <w:t>2026</w:t>
      </w:r>
      <w:r>
        <w:rPr>
          <w:sz w:val="20"/>
          <w:szCs w:val="20"/>
          <w:color w:val="auto"/>
        </w:rPr>
        <w:tab/>
      </w:r>
      <w:r>
        <w:rPr>
          <w:rFonts w:ascii="Times New Roman" w:cs="Times New Roman" w:eastAsia="Times New Roman" w:hAnsi="Times New Roman"/>
          <w:sz w:val="22"/>
          <w:szCs w:val="22"/>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-3810</wp:posOffset>
            </wp:positionV>
            <wp:extent cx="1268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Net sales</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6"/>
              </w:rPr>
              <w:t>(1,576)</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86"/>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(360)</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w:t>
      </w:r>
      <w:r>
        <w:rPr>
          <w:rFonts w:ascii="Times New Roman" w:cs="Times New Roman" w:eastAsia="Times New Roman" w:hAnsi="Times New Roman"/>
          <w:sz w:val="22"/>
          <w:szCs w:val="22"/>
          <w:b w:val="1"/>
          <w:bCs w:val="1"/>
          <w:i w:val="1"/>
          <w:iCs w:val="1"/>
          <w:color w:val="auto"/>
        </w:rPr>
        <w:t>Investments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Method Investment in Big River</w:t>
      </w:r>
    </w:p>
    <w:p>
      <w:pPr>
        <w:spacing w:after="0" w:line="237" w:lineRule="exact"/>
        <w:rPr>
          <w:sz w:val="20"/>
          <w:szCs w:val="20"/>
          <w:color w:val="auto"/>
        </w:rPr>
      </w:pPr>
    </w:p>
    <w:p>
      <w:pPr>
        <w:ind w:right="70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Company’s equity method investment at April 30, 2026 and January 31, 2026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20" w:type="dxa"/>
            <w:vAlign w:val="bottom"/>
            <w:gridSpan w:val="4"/>
          </w:tcPr>
          <w:p>
            <w:pPr>
              <w:jc w:val="right"/>
              <w:ind w:right="880"/>
              <w:spacing w:after="0"/>
              <w:rPr>
                <w:sz w:val="20"/>
                <w:szCs w:val="20"/>
                <w:color w:val="auto"/>
              </w:rPr>
            </w:pPr>
            <w:r>
              <w:rPr>
                <w:rFonts w:ascii="Times New Roman" w:cs="Times New Roman" w:eastAsia="Times New Roman" w:hAnsi="Times New Roman"/>
                <w:sz w:val="22"/>
                <w:szCs w:val="22"/>
                <w:b w:val="1"/>
                <w:bCs w:val="1"/>
                <w:color w:val="auto"/>
              </w:rPr>
              <w:t>Carrying Amount</w:t>
            </w:r>
          </w:p>
        </w:tc>
      </w:tr>
      <w:tr>
        <w:trPr>
          <w:trHeight w:val="261"/>
        </w:trPr>
        <w:tc>
          <w:tcPr>
            <w:tcW w:w="24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4180" w:type="dxa"/>
            <w:vAlign w:val="bottom"/>
            <w:gridSpan w:val="2"/>
          </w:tcPr>
          <w:p>
            <w:pPr>
              <w:jc w:val="center"/>
              <w:ind w:right="480"/>
              <w:spacing w:after="0"/>
              <w:rPr>
                <w:sz w:val="20"/>
                <w:szCs w:val="20"/>
                <w:color w:val="auto"/>
              </w:rPr>
            </w:pPr>
            <w:r>
              <w:rPr>
                <w:rFonts w:ascii="Times New Roman" w:cs="Times New Roman" w:eastAsia="Times New Roman" w:hAnsi="Times New Roman"/>
                <w:sz w:val="22"/>
                <w:szCs w:val="22"/>
                <w:b w:val="1"/>
                <w:bCs w:val="1"/>
                <w:color w:val="auto"/>
                <w:w w:val="98"/>
              </w:rPr>
              <w:t>Ownership Percentage</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b w:val="1"/>
                <w:bCs w:val="1"/>
                <w:color w:val="auto"/>
                <w:w w:val="96"/>
              </w:rPr>
              <w:t>April 30, 2026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January 31, 2026</w:t>
            </w:r>
          </w:p>
        </w:tc>
      </w:tr>
      <w:tr>
        <w:trPr>
          <w:trHeight w:val="27"/>
        </w:trPr>
        <w:tc>
          <w:tcPr>
            <w:tcW w:w="580" w:type="dxa"/>
            <w:vAlign w:val="bottom"/>
            <w:shd w:val="clear" w:color="auto" w:fill="000000"/>
          </w:tcPr>
          <w:p>
            <w:pPr>
              <w:spacing w:after="0"/>
              <w:rPr>
                <w:sz w:val="2"/>
                <w:szCs w:val="2"/>
                <w:color w:val="auto"/>
              </w:rPr>
            </w:pPr>
          </w:p>
        </w:tc>
        <w:tc>
          <w:tcPr>
            <w:tcW w:w="1840" w:type="dxa"/>
            <w:vAlign w:val="bottom"/>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r>
      <w:tr>
        <w:trPr>
          <w:trHeight w:val="498"/>
        </w:trPr>
        <w:tc>
          <w:tcPr>
            <w:tcW w:w="2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Big River</w:t>
            </w:r>
          </w:p>
        </w:tc>
        <w:tc>
          <w:tcPr>
            <w:tcW w:w="3720" w:type="dxa"/>
            <w:vAlign w:val="bottom"/>
          </w:tcPr>
          <w:p>
            <w:pPr>
              <w:jc w:val="right"/>
              <w:ind w:right="1472"/>
              <w:spacing w:after="0"/>
              <w:rPr>
                <w:sz w:val="20"/>
                <w:szCs w:val="20"/>
                <w:color w:val="auto"/>
              </w:rPr>
            </w:pPr>
            <w:r>
              <w:rPr>
                <w:rFonts w:ascii="Times New Roman" w:cs="Times New Roman" w:eastAsia="Times New Roman" w:hAnsi="Times New Roman"/>
                <w:sz w:val="22"/>
                <w:szCs w:val="22"/>
                <w:color w:val="auto"/>
              </w:rPr>
              <w:t>10.3%</w:t>
            </w:r>
          </w:p>
        </w:tc>
        <w:tc>
          <w:tcPr>
            <w:tcW w:w="460" w:type="dxa"/>
            <w:vAlign w:val="bottom"/>
          </w:tcPr>
          <w:p>
            <w:pPr>
              <w:spacing w:after="0"/>
              <w:rPr>
                <w:sz w:val="24"/>
                <w:szCs w:val="24"/>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$41,325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$ 37,759</w:t>
            </w:r>
          </w:p>
        </w:tc>
      </w:tr>
    </w:tbl>
    <w:p>
      <w:pPr>
        <w:spacing w:after="0" w:line="204"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Undistributed earnings of the Company’s equity method investee totaled approximately $21.3 million and approximately $17.7 million at April 30, 2026 and January 31, 2026, respectively. The Company did not receive dividends from its equity method investee in the first quarter of fiscal year 2026 or 2025.</w:t>
      </w:r>
    </w:p>
    <w:p>
      <w:pPr>
        <w:spacing w:after="0" w:line="200"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Summarized financial information for the Company’s equity method investee is presented in the following table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40" w:type="dxa"/>
            <w:vAlign w:val="bottom"/>
            <w:gridSpan w:val="6"/>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26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5"/>
          </w:tcPr>
          <w:p>
            <w:pPr>
              <w:jc w:val="center"/>
              <w:ind w:right="2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April 30,</w:t>
            </w:r>
          </w:p>
        </w:tc>
        <w:tc>
          <w:tcPr>
            <w:tcW w:w="2260" w:type="dxa"/>
            <w:vAlign w:val="bottom"/>
          </w:tcPr>
          <w:p>
            <w:pPr>
              <w:spacing w:after="0"/>
              <w:rPr>
                <w:sz w:val="21"/>
                <w:szCs w:val="21"/>
                <w:color w:val="auto"/>
              </w:rPr>
            </w:pPr>
          </w:p>
        </w:tc>
      </w:tr>
      <w:tr>
        <w:trPr>
          <w:trHeight w:val="274"/>
        </w:trPr>
        <w:tc>
          <w:tcPr>
            <w:tcW w:w="43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5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8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36"/>
        </w:trPr>
        <w:tc>
          <w:tcPr>
            <w:tcW w:w="4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43"/>
        </w:trPr>
        <w:tc>
          <w:tcPr>
            <w:tcW w:w="4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25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7"/>
              </w:rPr>
              <w:t>269,710</w:t>
            </w:r>
          </w:p>
        </w:tc>
        <w:tc>
          <w:tcPr>
            <w:tcW w:w="52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5"/>
              </w:rPr>
              <w:t>272,303</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r>
      <w:tr>
        <w:trPr>
          <w:trHeight w:val="243"/>
        </w:trPr>
        <w:tc>
          <w:tcPr>
            <w:tcW w:w="4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Production tax credit income</w:t>
            </w:r>
          </w:p>
        </w:tc>
        <w:tc>
          <w:tcPr>
            <w:tcW w:w="25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19,892</w:t>
            </w:r>
          </w:p>
        </w:tc>
        <w:tc>
          <w:tcPr>
            <w:tcW w:w="520" w:type="dxa"/>
            <w:vAlign w:val="bottom"/>
          </w:tcPr>
          <w:p>
            <w:pPr>
              <w:spacing w:after="0"/>
              <w:rPr>
                <w:sz w:val="21"/>
                <w:szCs w:val="21"/>
                <w:color w:val="auto"/>
              </w:rPr>
            </w:pP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43"/>
        </w:trPr>
        <w:tc>
          <w:tcPr>
            <w:tcW w:w="4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25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45,105</w:t>
            </w:r>
          </w:p>
        </w:tc>
        <w:tc>
          <w:tcPr>
            <w:tcW w:w="52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14,250</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r>
      <w:tr>
        <w:trPr>
          <w:trHeight w:val="243"/>
        </w:trPr>
        <w:tc>
          <w:tcPr>
            <w:tcW w:w="4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Depreciation expense</w:t>
            </w:r>
          </w:p>
        </w:tc>
        <w:tc>
          <w:tcPr>
            <w:tcW w:w="25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4,333</w:t>
            </w:r>
          </w:p>
        </w:tc>
        <w:tc>
          <w:tcPr>
            <w:tcW w:w="520" w:type="dxa"/>
            <w:vAlign w:val="bottom"/>
          </w:tcPr>
          <w:p>
            <w:pPr>
              <w:spacing w:after="0"/>
              <w:rPr>
                <w:sz w:val="21"/>
                <w:szCs w:val="21"/>
                <w:color w:val="auto"/>
              </w:rPr>
            </w:pP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3,862</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43"/>
        </w:trPr>
        <w:tc>
          <w:tcPr>
            <w:tcW w:w="4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25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42,687</w:t>
            </w:r>
          </w:p>
        </w:tc>
        <w:tc>
          <w:tcPr>
            <w:tcW w:w="52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11,736</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r>
      <w:tr>
        <w:trPr>
          <w:trHeight w:val="282"/>
        </w:trPr>
        <w:tc>
          <w:tcPr>
            <w:tcW w:w="4320" w:type="dxa"/>
            <w:vAlign w:val="bottom"/>
          </w:tcPr>
          <w:p>
            <w:pPr>
              <w:spacing w:after="0"/>
              <w:rPr>
                <w:sz w:val="20"/>
                <w:szCs w:val="20"/>
                <w:color w:val="auto"/>
              </w:rPr>
            </w:pPr>
            <w:r>
              <w:rPr>
                <w:rFonts w:ascii="Times New Roman" w:cs="Times New Roman" w:eastAsia="Times New Roman" w:hAnsi="Times New Roman"/>
                <w:sz w:val="22"/>
                <w:szCs w:val="22"/>
                <w:color w:val="auto"/>
              </w:rPr>
              <w:t>Net income attributable to members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37,430</w:t>
            </w:r>
          </w:p>
        </w:tc>
        <w:tc>
          <w:tcPr>
            <w:tcW w:w="5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9,675</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4320" w:type="dxa"/>
            <w:vAlign w:val="bottom"/>
          </w:tcPr>
          <w:p>
            <w:pPr>
              <w:spacing w:after="0"/>
              <w:rPr>
                <w:sz w:val="24"/>
                <w:szCs w:val="24"/>
                <w:color w:val="auto"/>
              </w:rPr>
            </w:pPr>
          </w:p>
        </w:tc>
        <w:tc>
          <w:tcPr>
            <w:tcW w:w="24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21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8"/>
        </w:trPr>
        <w:tc>
          <w:tcPr>
            <w:tcW w:w="4320" w:type="dxa"/>
            <w:vAlign w:val="bottom"/>
            <w:tcBorders>
              <w:bottom w:val="single" w:sz="8" w:color="C0C0C0"/>
            </w:tcBorders>
          </w:tcPr>
          <w:p>
            <w:pPr>
              <w:spacing w:after="0"/>
              <w:rPr>
                <w:sz w:val="20"/>
                <w:szCs w:val="20"/>
                <w:color w:val="auto"/>
              </w:rPr>
            </w:pPr>
          </w:p>
        </w:tc>
        <w:tc>
          <w:tcPr>
            <w:tcW w:w="24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2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Short-term Investments</w:t>
      </w:r>
    </w:p>
    <w:p>
      <w:pPr>
        <w:spacing w:after="0" w:line="237"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At April 30, 2026, the Company owned United States Treasury Bills (classified as short-term investments) that had an amortized cost, or carrying value, of approximately $246.6 million. The contractual maturity of these investments was less than one year. The weighted average yield to maturity rate was approximately 3.7%. Unrecognized holding losses at April 30, 2026 were approximately $107,000.</w:t>
      </w:r>
    </w:p>
    <w:p>
      <w:pPr>
        <w:spacing w:after="0" w:line="20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At January 31, 2026, the Company owned United States Treasury Bills (classified as short-term investments) that had an amortized cost, or carrying value, of approximately $187.0 million. The contractual maturity of these investments was less than one year. The weighted average yield to maturity rate was approximately 3.8%. Unrecognized holding losses at January 31, 2026 were approximately $52,000.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w:t>
      </w:r>
      <w:r>
        <w:rPr>
          <w:rFonts w:ascii="Times New Roman" w:cs="Times New Roman" w:eastAsia="Times New Roman" w:hAnsi="Times New Roman"/>
          <w:sz w:val="22"/>
          <w:szCs w:val="22"/>
          <w:b w:val="1"/>
          <w:bCs w:val="1"/>
          <w:i w:val="1"/>
          <w:iCs w:val="1"/>
          <w:color w:val="auto"/>
        </w:rPr>
        <w:t>Employee Benefits</w:t>
      </w:r>
    </w:p>
    <w:p>
      <w:pPr>
        <w:spacing w:after="0" w:line="23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1"/>
          <w:szCs w:val="21"/>
          <w:color w:val="auto"/>
        </w:rPr>
        <w:t>Until its expiration on June 1, 2025, the Company maintained the REX American Resources Corporation 2015 Incentive Plan, approved by its shareholders, which reserved a total of 3,300,000 split-adjusted shares of common stock for issuance pursuant to its terms. At its time of expiration, 1,065,809 shares (pre-2025 split) remained available for issuance under the plan.</w:t>
      </w:r>
    </w:p>
    <w:p>
      <w:pPr>
        <w:spacing w:after="0" w:line="18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On May 28, 2026, shareholders approved the REX American Resources Corporation 2026 Incentive Plan, which reserves a total of 1,500,000 shares of common stock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Stock Awards</w:t>
      </w:r>
    </w:p>
    <w:p>
      <w:pPr>
        <w:spacing w:after="0" w:line="237" w:lineRule="exact"/>
        <w:rPr>
          <w:sz w:val="20"/>
          <w:szCs w:val="20"/>
          <w:color w:val="auto"/>
        </w:rPr>
      </w:pPr>
    </w:p>
    <w:p>
      <w:pPr>
        <w:jc w:val="both"/>
        <w:ind w:right="80" w:firstLine="648"/>
        <w:spacing w:after="0" w:line="251" w:lineRule="auto"/>
        <w:rPr>
          <w:sz w:val="20"/>
          <w:szCs w:val="20"/>
          <w:color w:val="auto"/>
        </w:rPr>
      </w:pPr>
      <w:r>
        <w:rPr>
          <w:rFonts w:ascii="Times New Roman" w:cs="Times New Roman" w:eastAsia="Times New Roman" w:hAnsi="Times New Roman"/>
          <w:sz w:val="21"/>
          <w:szCs w:val="21"/>
          <w:color w:val="auto"/>
        </w:rPr>
        <w:t>As a component of their compensation, restricted stock has been granted in the past to directors and certain employees at the closing market price of REX common stock on the grant date. In addition, one quarter of executives’ incentive compensation is payable by an award of restricted stock based on the then closing market price of REX common stock on the grant date. The</w:t>
      </w:r>
    </w:p>
    <w:p>
      <w:pPr>
        <w:ind w:right="240"/>
        <w:spacing w:after="0" w:line="201" w:lineRule="auto"/>
        <w:rPr>
          <w:sz w:val="20"/>
          <w:szCs w:val="20"/>
          <w:color w:val="auto"/>
        </w:rPr>
      </w:pPr>
      <w:r>
        <w:rPr>
          <w:rFonts w:ascii="Times New Roman" w:cs="Times New Roman" w:eastAsia="Times New Roman" w:hAnsi="Times New Roman"/>
          <w:sz w:val="22"/>
          <w:szCs w:val="22"/>
          <w:color w:val="auto"/>
        </w:rPr>
        <w:t>Company’s board of directors has determined that the grant date will be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or the next business day if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is not a business day, for all grants of restricted stock.</w:t>
      </w:r>
    </w:p>
    <w:p>
      <w:pPr>
        <w:spacing w:after="0" w:line="205"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Based on retirement eligibility provisions, a portion of restricted stock grants were expensed at grant date, based on grant date fair value, thus considered vested for accounting purposes. At April 30, 2026, 20,964 shares were unvested for accounting purposes and unrecognized compensation cost related to these nonvested restricted stock awards was approximately $174,000, to be recognized over a weighted average vesting term of 1.0 year.</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22"/>
          <w:szCs w:val="22"/>
          <w:color w:val="auto"/>
        </w:rPr>
        <w:t>The following tables summarize legally unvested restricted stock award activity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080" w:type="dxa"/>
            <w:vAlign w:val="bottom"/>
          </w:tcPr>
          <w:p>
            <w:pPr>
              <w:spacing w:after="0"/>
              <w:rPr>
                <w:sz w:val="24"/>
                <w:szCs w:val="24"/>
                <w:color w:val="auto"/>
              </w:rPr>
            </w:pPr>
          </w:p>
        </w:tc>
        <w:tc>
          <w:tcPr>
            <w:tcW w:w="5040" w:type="dxa"/>
            <w:vAlign w:val="bottom"/>
            <w:gridSpan w:val="7"/>
          </w:tcPr>
          <w:p>
            <w:pPr>
              <w:ind w:left="840"/>
              <w:spacing w:after="0"/>
              <w:rPr>
                <w:sz w:val="20"/>
                <w:szCs w:val="20"/>
                <w:color w:val="auto"/>
              </w:rPr>
            </w:pPr>
            <w:r>
              <w:rPr>
                <w:rFonts w:ascii="Times New Roman" w:cs="Times New Roman" w:eastAsia="Times New Roman" w:hAnsi="Times New Roman"/>
                <w:sz w:val="22"/>
                <w:szCs w:val="22"/>
                <w:b w:val="1"/>
                <w:bCs w:val="1"/>
                <w:color w:val="auto"/>
              </w:rPr>
              <w:t>Three Months Ended April 30, 2026</w:t>
            </w:r>
          </w:p>
        </w:tc>
        <w:tc>
          <w:tcPr>
            <w:tcW w:w="0" w:type="dxa"/>
            <w:vAlign w:val="bottom"/>
          </w:tcPr>
          <w:p>
            <w:pPr>
              <w:spacing w:after="0"/>
              <w:rPr>
                <w:sz w:val="1"/>
                <w:szCs w:val="1"/>
                <w:color w:val="auto"/>
              </w:rPr>
            </w:pPr>
          </w:p>
        </w:tc>
      </w:tr>
      <w:tr>
        <w:trPr>
          <w:trHeight w:val="443"/>
        </w:trPr>
        <w:tc>
          <w:tcPr>
            <w:tcW w:w="5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22"/>
                <w:szCs w:val="22"/>
                <w:b w:val="1"/>
                <w:bCs w:val="1"/>
                <w:color w:val="auto"/>
                <w:w w:val="95"/>
              </w:rPr>
              <w:t>Weighted</w:t>
            </w:r>
          </w:p>
        </w:tc>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right="3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1820" w:type="dxa"/>
            <w:vAlign w:val="bottom"/>
            <w:gridSpan w:val="2"/>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right="3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1820" w:type="dxa"/>
            <w:vAlign w:val="bottom"/>
            <w:gridSpan w:val="2"/>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0" w:type="dxa"/>
            <w:vAlign w:val="bottom"/>
          </w:tcPr>
          <w:p>
            <w:pPr>
              <w:spacing w:after="0"/>
              <w:rPr>
                <w:sz w:val="1"/>
                <w:szCs w:val="1"/>
                <w:color w:val="auto"/>
              </w:rPr>
            </w:pPr>
          </w:p>
        </w:tc>
      </w:tr>
      <w:tr>
        <w:trPr>
          <w:trHeight w:val="274"/>
        </w:trPr>
        <w:tc>
          <w:tcPr>
            <w:tcW w:w="5080" w:type="dxa"/>
            <w:vAlign w:val="bottom"/>
          </w:tcPr>
          <w:p>
            <w:pPr>
              <w:spacing w:after="0"/>
              <w:rPr>
                <w:sz w:val="23"/>
                <w:szCs w:val="23"/>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200" w:type="dxa"/>
            <w:vAlign w:val="bottom"/>
          </w:tcPr>
          <w:p>
            <w:pPr>
              <w:spacing w:after="0"/>
              <w:rPr>
                <w:sz w:val="23"/>
                <w:szCs w:val="23"/>
                <w:color w:val="auto"/>
              </w:rPr>
            </w:pP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22"/>
                <w:szCs w:val="22"/>
                <w:b w:val="1"/>
                <w:bCs w:val="1"/>
                <w:color w:val="auto"/>
                <w:w w:val="97"/>
              </w:rPr>
              <w:t>(000’s)</w:t>
            </w:r>
          </w:p>
        </w:tc>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9"/>
              </w:rPr>
              <w:t>(in years)</w:t>
            </w: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2026</w:t>
            </w:r>
          </w:p>
        </w:tc>
        <w:tc>
          <w:tcPr>
            <w:tcW w:w="10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160,364</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3,244</w:t>
            </w:r>
          </w:p>
        </w:tc>
        <w:tc>
          <w:tcPr>
            <w:tcW w:w="360" w:type="dxa"/>
            <w:vAlign w:val="bottom"/>
            <w:shd w:val="clear" w:color="auto" w:fill="E5FFFF"/>
          </w:tcPr>
          <w:p>
            <w:pPr>
              <w:spacing w:after="0"/>
              <w:rPr>
                <w:sz w:val="21"/>
                <w:szCs w:val="21"/>
                <w:color w:val="auto"/>
              </w:rPr>
            </w:pPr>
          </w:p>
        </w:tc>
        <w:tc>
          <w:tcPr>
            <w:tcW w:w="18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0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22"/>
                <w:szCs w:val="22"/>
                <w:color w:val="auto"/>
              </w:rPr>
              <w:t>Non-vested at April 30, 2026</w:t>
            </w:r>
          </w:p>
        </w:tc>
        <w:tc>
          <w:tcPr>
            <w:tcW w:w="10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160,364</w:t>
            </w:r>
          </w:p>
        </w:tc>
        <w:tc>
          <w:tcPr>
            <w:tcW w:w="360" w:type="dxa"/>
            <w:vAlign w:val="bottom"/>
            <w:tcBorders>
              <w:bottom w:val="single" w:sz="8" w:color="E5FFFF"/>
            </w:tcBorders>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3,244</w:t>
            </w:r>
          </w:p>
        </w:tc>
        <w:tc>
          <w:tcPr>
            <w:tcW w:w="360" w:type="dxa"/>
            <w:vAlign w:val="bottom"/>
            <w:tcBorders>
              <w:bottom w:val="single" w:sz="8" w:color="E5FFFF"/>
            </w:tcBorders>
            <w:shd w:val="clear" w:color="auto" w:fill="E5FFFF"/>
          </w:tcPr>
          <w:p>
            <w:pPr>
              <w:spacing w:after="0"/>
              <w:rPr>
                <w:sz w:val="23"/>
                <w:szCs w:val="23"/>
                <w:color w:val="auto"/>
              </w:rPr>
            </w:pPr>
          </w:p>
        </w:tc>
        <w:tc>
          <w:tcPr>
            <w:tcW w:w="1800" w:type="dxa"/>
            <w:vAlign w:val="bottom"/>
            <w:tcBorders>
              <w:bottom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080" w:type="dxa"/>
            <w:vAlign w:val="bottom"/>
          </w:tcPr>
          <w:p>
            <w:pPr>
              <w:spacing w:after="0"/>
              <w:rPr>
                <w:sz w:val="24"/>
                <w:szCs w:val="24"/>
                <w:color w:val="auto"/>
              </w:rPr>
            </w:pPr>
          </w:p>
        </w:tc>
        <w:tc>
          <w:tcPr>
            <w:tcW w:w="5040" w:type="dxa"/>
            <w:vAlign w:val="bottom"/>
            <w:gridSpan w:val="7"/>
          </w:tcPr>
          <w:p>
            <w:pPr>
              <w:ind w:left="840"/>
              <w:spacing w:after="0"/>
              <w:rPr>
                <w:sz w:val="20"/>
                <w:szCs w:val="20"/>
                <w:color w:val="auto"/>
              </w:rPr>
            </w:pPr>
            <w:r>
              <w:rPr>
                <w:rFonts w:ascii="Times New Roman" w:cs="Times New Roman" w:eastAsia="Times New Roman" w:hAnsi="Times New Roman"/>
                <w:sz w:val="22"/>
                <w:szCs w:val="22"/>
                <w:b w:val="1"/>
                <w:bCs w:val="1"/>
                <w:color w:val="auto"/>
              </w:rPr>
              <w:t>Three Months Ended April 30, 2025</w:t>
            </w:r>
          </w:p>
        </w:tc>
        <w:tc>
          <w:tcPr>
            <w:tcW w:w="0" w:type="dxa"/>
            <w:vAlign w:val="bottom"/>
          </w:tcPr>
          <w:p>
            <w:pPr>
              <w:spacing w:after="0"/>
              <w:rPr>
                <w:sz w:val="1"/>
                <w:szCs w:val="1"/>
                <w:color w:val="auto"/>
              </w:rPr>
            </w:pPr>
          </w:p>
        </w:tc>
      </w:tr>
      <w:tr>
        <w:trPr>
          <w:trHeight w:val="443"/>
        </w:trPr>
        <w:tc>
          <w:tcPr>
            <w:tcW w:w="5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22"/>
                <w:szCs w:val="22"/>
                <w:b w:val="1"/>
                <w:bCs w:val="1"/>
                <w:color w:val="auto"/>
                <w:w w:val="95"/>
              </w:rPr>
              <w:t>Weighted</w:t>
            </w:r>
          </w:p>
        </w:tc>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right="3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1820" w:type="dxa"/>
            <w:vAlign w:val="bottom"/>
            <w:gridSpan w:val="2"/>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right="3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1820" w:type="dxa"/>
            <w:vAlign w:val="bottom"/>
            <w:gridSpan w:val="2"/>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0" w:type="dxa"/>
            <w:vAlign w:val="bottom"/>
          </w:tcPr>
          <w:p>
            <w:pPr>
              <w:spacing w:after="0"/>
              <w:rPr>
                <w:sz w:val="1"/>
                <w:szCs w:val="1"/>
                <w:color w:val="auto"/>
              </w:rPr>
            </w:pPr>
          </w:p>
        </w:tc>
      </w:tr>
      <w:tr>
        <w:trPr>
          <w:trHeight w:val="274"/>
        </w:trPr>
        <w:tc>
          <w:tcPr>
            <w:tcW w:w="5080" w:type="dxa"/>
            <w:vAlign w:val="bottom"/>
          </w:tcPr>
          <w:p>
            <w:pPr>
              <w:spacing w:after="0"/>
              <w:rPr>
                <w:sz w:val="23"/>
                <w:szCs w:val="23"/>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200" w:type="dxa"/>
            <w:vAlign w:val="bottom"/>
          </w:tcPr>
          <w:p>
            <w:pPr>
              <w:spacing w:after="0"/>
              <w:rPr>
                <w:sz w:val="23"/>
                <w:szCs w:val="23"/>
                <w:color w:val="auto"/>
              </w:rPr>
            </w:pP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22"/>
                <w:szCs w:val="22"/>
                <w:b w:val="1"/>
                <w:bCs w:val="1"/>
                <w:color w:val="auto"/>
                <w:w w:val="97"/>
              </w:rPr>
              <w:t>(000’s)</w:t>
            </w:r>
          </w:p>
        </w:tc>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9"/>
              </w:rPr>
              <w:t>(in years)</w:t>
            </w: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2025</w:t>
            </w:r>
          </w:p>
        </w:tc>
        <w:tc>
          <w:tcPr>
            <w:tcW w:w="10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324,784</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6,190</w:t>
            </w:r>
          </w:p>
        </w:tc>
        <w:tc>
          <w:tcPr>
            <w:tcW w:w="360" w:type="dxa"/>
            <w:vAlign w:val="bottom"/>
            <w:shd w:val="clear" w:color="auto" w:fill="E5FFFF"/>
          </w:tcPr>
          <w:p>
            <w:pPr>
              <w:spacing w:after="0"/>
              <w:rPr>
                <w:sz w:val="21"/>
                <w:szCs w:val="21"/>
                <w:color w:val="auto"/>
              </w:rPr>
            </w:pPr>
          </w:p>
        </w:tc>
        <w:tc>
          <w:tcPr>
            <w:tcW w:w="18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0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Vested</w:t>
            </w:r>
          </w:p>
        </w:tc>
        <w:tc>
          <w:tcPr>
            <w:tcW w:w="10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22"/>
                <w:szCs w:val="22"/>
                <w:color w:val="auto"/>
              </w:rPr>
              <w:t>Non-vested at April 30, 2025</w:t>
            </w:r>
          </w:p>
        </w:tc>
        <w:tc>
          <w:tcPr>
            <w:tcW w:w="10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324,784</w:t>
            </w:r>
          </w:p>
        </w:tc>
        <w:tc>
          <w:tcPr>
            <w:tcW w:w="360" w:type="dxa"/>
            <w:vAlign w:val="bottom"/>
            <w:tcBorders>
              <w:bottom w:val="single" w:sz="8" w:color="E5FFFF"/>
            </w:tcBorders>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6,190</w:t>
            </w:r>
          </w:p>
        </w:tc>
        <w:tc>
          <w:tcPr>
            <w:tcW w:w="360" w:type="dxa"/>
            <w:vAlign w:val="bottom"/>
            <w:tcBorders>
              <w:bottom w:val="single" w:sz="8" w:color="E5FFFF"/>
            </w:tcBorders>
            <w:shd w:val="clear" w:color="auto" w:fill="E5FFFF"/>
          </w:tcPr>
          <w:p>
            <w:pPr>
              <w:spacing w:after="0"/>
              <w:rPr>
                <w:sz w:val="23"/>
                <w:szCs w:val="23"/>
                <w:color w:val="auto"/>
              </w:rPr>
            </w:pPr>
          </w:p>
        </w:tc>
        <w:tc>
          <w:tcPr>
            <w:tcW w:w="1800" w:type="dxa"/>
            <w:vAlign w:val="bottom"/>
            <w:tcBorders>
              <w:bottom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Restricted Stock Units</w:t>
            </w: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0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In May 2022, the Company issued a total of 135,000 RSUs to certain officers with a performance period that ended on December 31, 2024. The number of RSUs eligible to vest ranged from zero percent to two-hundred percent and was determined based on how the Company’s TSR compared to the TSR of companies that comprised the Russell 2000 Index during the performance period. The calculated payout of the RSUs that vested was 148%, or 199,800 shares of REX common stock, and the shares were issued on February 26, 2025.</w:t>
      </w:r>
    </w:p>
    <w:p>
      <w:pPr>
        <w:spacing w:after="0" w:line="1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Note 12</w:t>
      </w:r>
      <w:r>
        <w:rPr>
          <w:rFonts w:ascii="Times New Roman" w:cs="Times New Roman" w:eastAsia="Times New Roman" w:hAnsi="Times New Roman"/>
          <w:sz w:val="22"/>
          <w:szCs w:val="22"/>
          <w:b w:val="1"/>
          <w:bCs w:val="1"/>
          <w:i w:val="1"/>
          <w:iCs w:val="1"/>
          <w:color w:val="auto"/>
        </w:rPr>
        <w:t>. Income Taxes</w:t>
      </w:r>
    </w:p>
    <w:p>
      <w:pPr>
        <w:spacing w:after="0" w:line="238"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The Company’s income tax provision was approximately $4.4 million and $3.0 million for the three months ended April 30, 2026 and 2025, respectively. The effective tax rate was 17.0% and 21.7% for the three months ended April 30, 2026 and 2025, respectively. The primary causes for the difference between the statutory tax rate and our effective tax rate are the impact from nontaxable income associated with 45Z tax credits, as well the impact from noncontrolling interests.</w:t>
      </w:r>
    </w:p>
    <w:p>
      <w:pPr>
        <w:spacing w:after="0" w:line="20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spacing w:after="0" w:line="20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On July 4, 2025, the OBBBA was signed into law. The OBBBA contains various tax reform provisions affecting businesses, such as the extension of bonus depreciation for assets placed in service after January 19, 2025 and immediate expensing of domestic research and development costs, to result in current deductions that allowed for lower cash paid for income taxes for 2025. The OBBBA made changes to the 45Z and 45Q tax credits that the Company intends to take advantage of which materially impact our financial results. The Section 45Z clean fuel production credit is a general business credit that is allowed with respect to clean transportation fuel produced domestically after December 31, 2024, and before December 31, 2029. This credit, which was part of the IRA, and subsequently extended by the OBBBA, incentivizes the production of clean fuels at our plants that reduce GHG emissions below a CI score of 50. The tax credit utilizes a sliding scale where credits can be earned incrementally between $0.02 and $0.20 ($0.10 and $1.00 if prevailing wage and apprenticeship requirements are met) per gallon of non-SAF fuels based on an ethanol plant’s GHG reduction below a 50 CI score threshold, with the first two or ten cents earned upon achieving a CI score below 47.5. The Company expects that it is more-likely-than-not that prevailing wage and apprenticeship requirements will be met for 2025 and 2026 for its consolidated ethanol plants and has calculated the credit at the applicable credit rate based on its CI score for fiscal 2025 and its estimated CI score for the first quarter of fiscal 2026, after the purchase of EACs.</w:t>
      </w:r>
    </w:p>
    <w:p>
      <w:pPr>
        <w:spacing w:after="0" w:line="20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Effective February 1, 2026, the Company elected to early adopt ASU 2025-10, “Accounting for Government Grants Received by Business Entities” (“ASU 2025-10”) and as such, changed its accounting policy related to the accounting for Section 45Z tax credits. The Company will record the tax credits earned under the income model of ASU 2025-10 as “Production tax credit income”, included within gross profit on the Consolidated Statements of Operations and within “Other assets” on the Consolidated Balance Sheets. The Company determined the income model under ASU 2025-10 is preferable to better align with monetization potential in the future.</w:t>
      </w:r>
    </w:p>
    <w:p>
      <w:pPr>
        <w:spacing w:after="0" w:line="208" w:lineRule="exact"/>
        <w:rPr>
          <w:sz w:val="20"/>
          <w:szCs w:val="20"/>
          <w:color w:val="auto"/>
        </w:rPr>
      </w:pPr>
    </w:p>
    <w:p>
      <w:pPr>
        <w:jc w:val="both"/>
        <w:ind w:right="160" w:firstLine="648"/>
        <w:spacing w:after="0" w:line="255" w:lineRule="auto"/>
        <w:rPr>
          <w:sz w:val="20"/>
          <w:szCs w:val="20"/>
          <w:color w:val="auto"/>
        </w:rPr>
      </w:pPr>
      <w:r>
        <w:rPr>
          <w:rFonts w:ascii="Times New Roman" w:cs="Times New Roman" w:eastAsia="Times New Roman" w:hAnsi="Times New Roman"/>
          <w:sz w:val="21"/>
          <w:szCs w:val="21"/>
          <w:color w:val="auto"/>
        </w:rPr>
        <w:t>The Company files a U.S. federal income tax return and income tax returns in various states. In general, the Company is no longer subject to U.S. federal, state or local income tax examinations by tax authorities for years ended January 31, 2014 and prior. The Company is currently finalizing, as an agreement in principle has been reached, a federal income tax examination for the years ended January 31, 2015 through January 31, 2022 related to tax credits claimed on returns during those years.</w:t>
      </w:r>
    </w:p>
    <w:p>
      <w:pPr>
        <w:spacing w:after="0" w:line="189" w:lineRule="exact"/>
        <w:rPr>
          <w:sz w:val="20"/>
          <w:szCs w:val="20"/>
          <w:color w:val="auto"/>
        </w:rPr>
      </w:pPr>
    </w:p>
    <w:p>
      <w:pPr>
        <w:ind w:right="300" w:firstLine="648"/>
        <w:spacing w:after="0" w:line="244" w:lineRule="auto"/>
        <w:rPr>
          <w:sz w:val="20"/>
          <w:szCs w:val="20"/>
          <w:color w:val="auto"/>
        </w:rPr>
      </w:pPr>
      <w:r>
        <w:rPr>
          <w:rFonts w:ascii="Times New Roman" w:cs="Times New Roman" w:eastAsia="Times New Roman" w:hAnsi="Times New Roman"/>
          <w:sz w:val="22"/>
          <w:szCs w:val="22"/>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w:t>
      </w:r>
    </w:p>
    <w:p>
      <w:pPr>
        <w:spacing w:after="0" w:line="1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ind w:firstLine="648"/>
        <w:spacing w:after="0" w:line="259" w:lineRule="auto"/>
        <w:rPr>
          <w:sz w:val="20"/>
          <w:szCs w:val="20"/>
          <w:color w:val="auto"/>
        </w:rPr>
      </w:pPr>
      <w:r>
        <w:rPr>
          <w:rFonts w:ascii="Times New Roman" w:cs="Times New Roman" w:eastAsia="Times New Roman" w:hAnsi="Times New Roman"/>
          <w:sz w:val="22"/>
          <w:szCs w:val="22"/>
          <w:color w:val="auto"/>
        </w:rPr>
        <w:t>A reconciliation of the beginning and ending amount of unrecognized tax benefits, including interest and penalties, for the three month periods ended April 30, 2026 and 2025, is as follows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60" w:type="dxa"/>
            <w:vAlign w:val="bottom"/>
          </w:tcPr>
          <w:p>
            <w:pPr>
              <w:spacing w:after="0"/>
              <w:rPr>
                <w:sz w:val="22"/>
                <w:szCs w:val="22"/>
                <w:color w:val="auto"/>
              </w:rPr>
            </w:pPr>
          </w:p>
        </w:tc>
        <w:tc>
          <w:tcPr>
            <w:tcW w:w="3440" w:type="dxa"/>
            <w:vAlign w:val="bottom"/>
            <w:gridSpan w:val="7"/>
          </w:tcPr>
          <w:p>
            <w:pPr>
              <w:ind w:left="1480"/>
              <w:spacing w:after="0"/>
              <w:rPr>
                <w:sz w:val="20"/>
                <w:szCs w:val="20"/>
                <w:color w:val="auto"/>
              </w:rPr>
            </w:pPr>
            <w:r>
              <w:rPr>
                <w:rFonts w:ascii="Times New Roman" w:cs="Times New Roman" w:eastAsia="Times New Roman" w:hAnsi="Times New Roman"/>
                <w:sz w:val="22"/>
                <w:szCs w:val="22"/>
                <w:b w:val="1"/>
                <w:bCs w:val="1"/>
                <w:color w:val="auto"/>
                <w:w w:val="96"/>
              </w:rPr>
              <w:t>Three Months Ended</w:t>
            </w:r>
          </w:p>
        </w:tc>
      </w:tr>
      <w:tr>
        <w:trPr>
          <w:trHeight w:val="257"/>
        </w:trPr>
        <w:tc>
          <w:tcPr>
            <w:tcW w:w="55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20" w:type="dxa"/>
            <w:vAlign w:val="bottom"/>
            <w:gridSpan w:val="5"/>
          </w:tcPr>
          <w:p>
            <w:pPr>
              <w:ind w:left="420"/>
              <w:spacing w:after="0"/>
              <w:rPr>
                <w:sz w:val="20"/>
                <w:szCs w:val="20"/>
                <w:color w:val="auto"/>
              </w:rPr>
            </w:pPr>
            <w:r>
              <w:rPr>
                <w:rFonts w:ascii="Times New Roman" w:cs="Times New Roman" w:eastAsia="Times New Roman" w:hAnsi="Times New Roman"/>
                <w:sz w:val="22"/>
                <w:szCs w:val="22"/>
                <w:b w:val="1"/>
                <w:bCs w:val="1"/>
                <w:color w:val="auto"/>
              </w:rPr>
              <w:t>April 30,</w:t>
            </w:r>
          </w:p>
        </w:tc>
      </w:tr>
      <w:tr>
        <w:trPr>
          <w:trHeight w:val="274"/>
        </w:trPr>
        <w:tc>
          <w:tcPr>
            <w:tcW w:w="5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9"/>
              </w:rPr>
              <w:t>2026</w:t>
            </w:r>
          </w:p>
        </w:tc>
        <w:tc>
          <w:tcPr>
            <w:tcW w:w="420" w:type="dxa"/>
            <w:vAlign w:val="bottom"/>
          </w:tcPr>
          <w:p>
            <w:pPr>
              <w:spacing w:after="0"/>
              <w:rPr>
                <w:sz w:val="23"/>
                <w:szCs w:val="23"/>
                <w:color w:val="auto"/>
              </w:rPr>
            </w:pPr>
          </w:p>
        </w:tc>
        <w:tc>
          <w:tcPr>
            <w:tcW w:w="76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0" w:type="dxa"/>
            <w:vAlign w:val="bottom"/>
          </w:tcPr>
          <w:p>
            <w:pPr>
              <w:spacing w:after="0"/>
              <w:rPr>
                <w:sz w:val="23"/>
                <w:szCs w:val="23"/>
                <w:color w:val="auto"/>
              </w:rPr>
            </w:pPr>
          </w:p>
        </w:tc>
      </w:tr>
      <w:tr>
        <w:trPr>
          <w:trHeight w:val="236"/>
        </w:trPr>
        <w:tc>
          <w:tcPr>
            <w:tcW w:w="5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5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Unrecognized tax benefits, beginning of period</w:t>
            </w:r>
          </w:p>
        </w:tc>
        <w:tc>
          <w:tcPr>
            <w:tcW w:w="1620" w:type="dxa"/>
            <w:vAlign w:val="bottom"/>
            <w:gridSpan w:val="2"/>
            <w:shd w:val="clear" w:color="auto" w:fill="E5FFFF"/>
          </w:tcPr>
          <w:p>
            <w:pPr>
              <w:ind w:left="14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383</w:t>
            </w:r>
          </w:p>
        </w:tc>
        <w:tc>
          <w:tcPr>
            <w:tcW w:w="42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6"/>
              </w:rPr>
              <w:t>$ 18,978</w:t>
            </w:r>
          </w:p>
        </w:tc>
        <w:tc>
          <w:tcPr>
            <w:tcW w:w="20" w:type="dxa"/>
            <w:vAlign w:val="bottom"/>
          </w:tcPr>
          <w:p>
            <w:pPr>
              <w:spacing w:after="0"/>
              <w:rPr>
                <w:sz w:val="21"/>
                <w:szCs w:val="21"/>
                <w:color w:val="auto"/>
              </w:rPr>
            </w:pPr>
          </w:p>
        </w:tc>
      </w:tr>
      <w:tr>
        <w:trPr>
          <w:trHeight w:val="243"/>
        </w:trPr>
        <w:tc>
          <w:tcPr>
            <w:tcW w:w="5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Changes for prior years’ tax positions</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c>
          <w:tcPr>
            <w:tcW w:w="420" w:type="dxa"/>
            <w:vAlign w:val="bottom"/>
          </w:tcPr>
          <w:p>
            <w:pPr>
              <w:spacing w:after="0"/>
              <w:rPr>
                <w:sz w:val="21"/>
                <w:szCs w:val="21"/>
                <w:color w:val="auto"/>
              </w:rPr>
            </w:pP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0" w:type="dxa"/>
            <w:vAlign w:val="bottom"/>
          </w:tcPr>
          <w:p>
            <w:pPr>
              <w:spacing w:after="0"/>
              <w:rPr>
                <w:sz w:val="21"/>
                <w:szCs w:val="21"/>
                <w:color w:val="auto"/>
              </w:rPr>
            </w:pPr>
          </w:p>
        </w:tc>
      </w:tr>
      <w:tr>
        <w:trPr>
          <w:trHeight w:val="257"/>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Changes for current year tax positions</w:t>
            </w:r>
          </w:p>
        </w:tc>
        <w:tc>
          <w:tcPr>
            <w:tcW w:w="148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2"/>
                <w:szCs w:val="22"/>
                <w:color w:val="auto"/>
              </w:rPr>
            </w:pPr>
          </w:p>
        </w:tc>
        <w:tc>
          <w:tcPr>
            <w:tcW w:w="7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2"/>
                <w:szCs w:val="22"/>
                <w:color w:val="auto"/>
              </w:rPr>
            </w:pPr>
          </w:p>
        </w:tc>
      </w:tr>
      <w:tr>
        <w:trPr>
          <w:trHeight w:val="250"/>
        </w:trPr>
        <w:tc>
          <w:tcPr>
            <w:tcW w:w="5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Unrecognized tax benefits, end of period</w:t>
            </w:r>
          </w:p>
        </w:tc>
        <w:tc>
          <w:tcPr>
            <w:tcW w:w="14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389</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3"/>
              </w:rPr>
              <w:t>$ 18,985</w:t>
            </w:r>
          </w:p>
        </w:tc>
        <w:tc>
          <w:tcPr>
            <w:tcW w:w="20" w:type="dxa"/>
            <w:vAlign w:val="bottom"/>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6"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At April 30, 2026 and January 31, 2026 the unrecognized tax benefits were included within the following lines on the accompanying Consolidated Balance Sheets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22"/>
                <w:szCs w:val="22"/>
                <w:b w:val="1"/>
                <w:bCs w:val="1"/>
                <w:color w:val="auto"/>
              </w:rPr>
              <w:t>January 31,</w:t>
            </w:r>
          </w:p>
        </w:tc>
        <w:tc>
          <w:tcPr>
            <w:tcW w:w="0" w:type="dxa"/>
            <w:vAlign w:val="bottom"/>
          </w:tcPr>
          <w:p>
            <w:pPr>
              <w:spacing w:after="0"/>
              <w:rPr>
                <w:sz w:val="1"/>
                <w:szCs w:val="1"/>
                <w:color w:val="auto"/>
              </w:rPr>
            </w:pPr>
          </w:p>
        </w:tc>
      </w:tr>
      <w:tr>
        <w:trPr>
          <w:trHeight w:val="274"/>
        </w:trPr>
        <w:tc>
          <w:tcPr>
            <w:tcW w:w="66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3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Refundable income taxes</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6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(88)</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(88)</w:t>
            </w:r>
          </w:p>
        </w:tc>
        <w:tc>
          <w:tcPr>
            <w:tcW w:w="0" w:type="dxa"/>
            <w:vAlign w:val="bottom"/>
          </w:tcPr>
          <w:p>
            <w:pPr>
              <w:spacing w:after="0"/>
              <w:rPr>
                <w:sz w:val="1"/>
                <w:szCs w:val="1"/>
                <w:color w:val="auto"/>
              </w:rPr>
            </w:pPr>
          </w:p>
        </w:tc>
      </w:tr>
      <w:tr>
        <w:trPr>
          <w:trHeight w:val="256"/>
        </w:trPr>
        <w:tc>
          <w:tcPr>
            <w:tcW w:w="660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liabilities</w:t>
            </w:r>
          </w:p>
        </w:tc>
        <w:tc>
          <w:tcPr>
            <w:tcW w:w="160" w:type="dxa"/>
            <w:vAlign w:val="bottom"/>
          </w:tcPr>
          <w:p>
            <w:pPr>
              <w:spacing w:after="0"/>
              <w:rPr>
                <w:sz w:val="22"/>
                <w:szCs w:val="22"/>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477</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471</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Unrecognized tax benefits, end of period</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460" w:type="dxa"/>
            <w:vAlign w:val="bottom"/>
            <w:gridSpan w:val="2"/>
            <w:shd w:val="clear" w:color="auto" w:fill="E5FFFF"/>
          </w:tcPr>
          <w:p>
            <w:pPr>
              <w:jc w:val="right"/>
              <w:ind w:right="380"/>
              <w:spacing w:after="0"/>
              <w:rPr>
                <w:sz w:val="20"/>
                <w:szCs w:val="20"/>
                <w:color w:val="auto"/>
              </w:rPr>
            </w:pPr>
            <w:r>
              <w:rPr>
                <w:rFonts w:ascii="Times New Roman" w:cs="Times New Roman" w:eastAsia="Times New Roman" w:hAnsi="Times New Roman"/>
                <w:sz w:val="22"/>
                <w:szCs w:val="22"/>
                <w:color w:val="auto"/>
              </w:rPr>
              <w:t>389</w:t>
            </w:r>
          </w:p>
        </w:tc>
        <w:tc>
          <w:tcPr>
            <w:tcW w:w="260" w:type="dxa"/>
            <w:vAlign w:val="bottom"/>
            <w:shd w:val="clear" w:color="auto" w:fill="E5FFFF"/>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383</w:t>
            </w:r>
          </w:p>
        </w:tc>
        <w:tc>
          <w:tcPr>
            <w:tcW w:w="0" w:type="dxa"/>
            <w:vAlign w:val="bottom"/>
          </w:tcPr>
          <w:p>
            <w:pPr>
              <w:spacing w:after="0"/>
              <w:rPr>
                <w:sz w:val="1"/>
                <w:szCs w:val="1"/>
                <w:color w:val="auto"/>
              </w:rPr>
            </w:pPr>
          </w:p>
        </w:tc>
      </w:tr>
      <w:tr>
        <w:trPr>
          <w:trHeight w:val="20"/>
        </w:trPr>
        <w:tc>
          <w:tcPr>
            <w:tcW w:w="660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 xml:space="preserve">Note 13. </w:t>
            </w:r>
            <w:r>
              <w:rPr>
                <w:rFonts w:ascii="Times New Roman" w:cs="Times New Roman" w:eastAsia="Times New Roman" w:hAnsi="Times New Roman"/>
                <w:sz w:val="22"/>
                <w:szCs w:val="22"/>
                <w:b w:val="1"/>
                <w:bCs w:val="1"/>
                <w:i w:val="1"/>
                <w:iCs w:val="1"/>
                <w:color w:val="auto"/>
              </w:rPr>
              <w:t>Commitments and Contingencies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Financial Statements. There were no material liabilities recorded for legal actions at April 30, 2026 as the Company did not believe that there was a probable and reasonably estimable significant loss associated with any legal contingencies.</w:t>
      </w:r>
    </w:p>
    <w:p>
      <w:pPr>
        <w:spacing w:after="0" w:line="204" w:lineRule="exact"/>
        <w:rPr>
          <w:sz w:val="20"/>
          <w:szCs w:val="20"/>
          <w:color w:val="auto"/>
        </w:rPr>
      </w:pPr>
    </w:p>
    <w:p>
      <w:pPr>
        <w:ind w:right="620" w:firstLine="648"/>
        <w:spacing w:after="0" w:line="244" w:lineRule="auto"/>
        <w:rPr>
          <w:sz w:val="20"/>
          <w:szCs w:val="20"/>
          <w:color w:val="auto"/>
        </w:rPr>
      </w:pPr>
      <w:r>
        <w:rPr>
          <w:rFonts w:ascii="Times New Roman" w:cs="Times New Roman" w:eastAsia="Times New Roman" w:hAnsi="Times New Roman"/>
          <w:sz w:val="22"/>
          <w:szCs w:val="22"/>
          <w:color w:val="auto"/>
        </w:rPr>
        <w:t>At April 30, 2026, One Earth and NuGen had combined forward purchase contracts for approximately 23.7 million bushels of corn, the principal raw material for their ethanol plants, and they had combined forward purchase contracts for approximately 1.5 million MmBtu (million British thermal unit) of natural gas.</w:t>
      </w:r>
    </w:p>
    <w:p>
      <w:pPr>
        <w:spacing w:after="0" w:line="200"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2"/>
          <w:szCs w:val="22"/>
          <w:color w:val="auto"/>
        </w:rPr>
        <w:t>At April 30, 2026, One Earth and NuGen had combined sales commitments for approximately 63.5 million gallons of ethanol, approximately 120,700 tons of distillers grains and approximately 20.4 million pounds of distillers corn oil.</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One Earth entered into a 15-year agreement, effective February 1, 2019, with an unrelated party for the use of a portion of that party’s natural gas pipeline, with monthly payments of $29,250. One Earth paid</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approximately $88,000 in the three month periods ended April 30, 2026 and 2025, pursuant to the agreement.</w:t>
      </w:r>
    </w:p>
    <w:p>
      <w:pPr>
        <w:spacing w:after="0" w:line="23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At April 30, 2026, One Earth had signed non-cancelable contracts for capital projects with approximately $12.5 million remaining in future payments.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w:t>
      </w:r>
      <w:r>
        <w:rPr>
          <w:rFonts w:ascii="Times New Roman" w:cs="Times New Roman" w:eastAsia="Times New Roman" w:hAnsi="Times New Roman"/>
          <w:sz w:val="22"/>
          <w:szCs w:val="22"/>
          <w:b w:val="1"/>
          <w:bCs w:val="1"/>
          <w:i w:val="1"/>
          <w:iCs w:val="1"/>
          <w:color w:val="auto"/>
        </w:rPr>
        <w:t>Related-Party Transactions</w:t>
      </w:r>
    </w:p>
    <w:p>
      <w:pPr>
        <w:spacing w:after="0" w:line="239"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During the first quarter of fiscal years 2026 and 2025, One Earth and NuGen purchased approximately $18.8 million and $24.8 million, respectively, of corn (and other supplies) from minority equity investors and board members of those affiliates. The Company had amounts payable to related parties of approximately $1.5 million and $1.2 million at April 30, 2026 and January 31, 2026,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w:t>
      </w:r>
      <w:r>
        <w:rPr>
          <w:rFonts w:ascii="Times New Roman" w:cs="Times New Roman" w:eastAsia="Times New Roman" w:hAnsi="Times New Roman"/>
          <w:sz w:val="22"/>
          <w:szCs w:val="22"/>
          <w:b w:val="1"/>
          <w:bCs w:val="1"/>
          <w:i w:val="1"/>
          <w:iCs w:val="1"/>
          <w:color w:val="auto"/>
        </w:rPr>
        <w:t>Segment Reporting</w:t>
      </w:r>
    </w:p>
    <w:p>
      <w:pPr>
        <w:spacing w:after="0" w:line="23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The Company has one reportable segment, ethanol and by-products. Within the ethanol and by-products segment, the Company has equity investments in three ethanol limited liability companies, two of which are majority ownership interests and are consolidated in the financial statements presented. Prior period amounts have been reclassified to conform to current segment reporting.</w:t>
      </w:r>
    </w:p>
    <w:p>
      <w:pPr>
        <w:spacing w:after="0" w:line="207"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21"/>
          <w:szCs w:val="21"/>
          <w:color w:val="auto"/>
        </w:rPr>
        <w:t>The members of the Executive Committee, consisting of the Executive Chairman of the Board and the Chief Executive Officer, are the Company’s chief operating decision maker. The chief operating decision maker uses net income generated from operating segments in determining the allocation of resources and making assessment of Company performance.</w:t>
      </w:r>
    </w:p>
    <w:p>
      <w:pPr>
        <w:spacing w:after="0" w:line="18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In applying the criteria set forth in ASC 280, the Company determined that based on the nature of the products and production process and the expected financial results, the Company’s operations at its ethanol plants are aggregated into one reporting segment, each of which is reviewed in the same manner by the chief operating decision maker. Aggregation into one reporting segment is appropriate based upon the similarity of economic characteristics of the operating segments, including the markets for identical revenue sources and the primary input, corn. The plants in all locations operate in a similar manner to produce ethanol and by-products. The types of customers and how the products are distributed to the customers are similar across each operating entity, consisting of a combination of rail and truck shipments. Finally, the regulatory environment is largely impacted by guidance from the federal level, impacting each operating segment the same.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measure of segment assets is reported on the balance sheet as total consolidated assets.</w:t>
      </w:r>
    </w:p>
    <w:p>
      <w:pPr>
        <w:spacing w:after="0" w:line="1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6" w:name="page27"/>
    <w:bookmarkEnd w:id="26"/>
    <w:p>
      <w:pPr>
        <w:ind w:right="80" w:firstLine="648"/>
        <w:spacing w:after="0" w:line="259" w:lineRule="auto"/>
        <w:rPr>
          <w:sz w:val="20"/>
          <w:szCs w:val="20"/>
          <w:color w:val="auto"/>
        </w:rPr>
      </w:pPr>
      <w:r>
        <w:rPr>
          <w:rFonts w:ascii="Times New Roman" w:cs="Times New Roman" w:eastAsia="Times New Roman" w:hAnsi="Times New Roman"/>
          <w:sz w:val="22"/>
          <w:szCs w:val="22"/>
          <w:color w:val="auto"/>
        </w:rPr>
        <w:t>The following tables set forth certain financial data for the Company’s reportable segment for the three month periods ended April 30, 2026 and 2025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00" w:type="dxa"/>
            <w:vAlign w:val="bottom"/>
            <w:gridSpan w:val="4"/>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Three Months Ended</w:t>
            </w:r>
          </w:p>
        </w:tc>
      </w:tr>
      <w:tr>
        <w:trPr>
          <w:trHeight w:val="243"/>
        </w:trPr>
        <w:tc>
          <w:tcPr>
            <w:tcW w:w="6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1000" w:type="dxa"/>
            <w:vAlign w:val="bottom"/>
          </w:tcPr>
          <w:p>
            <w:pPr>
              <w:spacing w:after="0"/>
              <w:rPr>
                <w:sz w:val="21"/>
                <w:szCs w:val="21"/>
                <w:color w:val="auto"/>
              </w:rPr>
            </w:pPr>
          </w:p>
        </w:tc>
      </w:tr>
      <w:tr>
        <w:trPr>
          <w:trHeight w:val="274"/>
        </w:trPr>
        <w:tc>
          <w:tcPr>
            <w:tcW w:w="6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26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r>
      <w:tr>
        <w:trPr>
          <w:trHeight w:val="243"/>
        </w:trPr>
        <w:tc>
          <w:tcPr>
            <w:tcW w:w="6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2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426,209</w:t>
            </w:r>
          </w:p>
        </w:tc>
        <w:tc>
          <w:tcPr>
            <w:tcW w:w="280" w:type="dxa"/>
            <w:vAlign w:val="bottom"/>
          </w:tcPr>
          <w:p>
            <w:pPr>
              <w:spacing w:after="0"/>
              <w:rPr>
                <w:sz w:val="21"/>
                <w:szCs w:val="21"/>
                <w:color w:val="auto"/>
              </w:rPr>
            </w:pPr>
          </w:p>
        </w:tc>
        <w:tc>
          <w:tcPr>
            <w:tcW w:w="3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430,643</w:t>
            </w: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260" w:type="dxa"/>
            <w:vAlign w:val="bottom"/>
            <w:tcBorders>
              <w:bottom w:val="single" w:sz="8" w:color="auto"/>
            </w:tcBorders>
            <w:shd w:val="clear" w:color="auto" w:fill="E5FFFF"/>
          </w:tcPr>
          <w:p>
            <w:pPr>
              <w:spacing w:after="0"/>
              <w:rPr>
                <w:sz w:val="21"/>
                <w:szCs w:val="21"/>
                <w:color w:val="auto"/>
              </w:rPr>
            </w:pPr>
          </w:p>
        </w:tc>
        <w:tc>
          <w:tcPr>
            <w:tcW w:w="108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(269,710)</w:t>
            </w:r>
          </w:p>
        </w:tc>
        <w:tc>
          <w:tcPr>
            <w:tcW w:w="280" w:type="dxa"/>
            <w:vAlign w:val="bottom"/>
            <w:shd w:val="clear" w:color="auto" w:fill="E5FFFF"/>
          </w:tcPr>
          <w:p>
            <w:pPr>
              <w:spacing w:after="0"/>
              <w:rPr>
                <w:sz w:val="21"/>
                <w:szCs w:val="21"/>
                <w:color w:val="auto"/>
              </w:rPr>
            </w:pPr>
          </w:p>
        </w:tc>
        <w:tc>
          <w:tcPr>
            <w:tcW w:w="34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(272,303)</w:t>
            </w:r>
          </w:p>
        </w:tc>
      </w:tr>
      <w:tr>
        <w:trPr>
          <w:trHeight w:val="250"/>
        </w:trPr>
        <w:tc>
          <w:tcPr>
            <w:tcW w:w="66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 consolidated net sales and revenue</w:t>
            </w:r>
          </w:p>
        </w:tc>
        <w:tc>
          <w:tcPr>
            <w:tcW w:w="260" w:type="dxa"/>
            <w:vAlign w:val="bottom"/>
            <w:tcBorders>
              <w:bottom w:val="single" w:sz="8" w:color="auto"/>
            </w:tcBorders>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156,499</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158,340</w:t>
            </w: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Production tax credit income</w:t>
            </w:r>
          </w:p>
        </w:tc>
        <w:tc>
          <w:tcPr>
            <w:tcW w:w="26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r>
      <w:tr>
        <w:trPr>
          <w:trHeight w:val="243"/>
        </w:trPr>
        <w:tc>
          <w:tcPr>
            <w:tcW w:w="6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2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27,441</w:t>
            </w:r>
          </w:p>
        </w:tc>
        <w:tc>
          <w:tcPr>
            <w:tcW w:w="280" w:type="dxa"/>
            <w:vAlign w:val="bottom"/>
          </w:tcPr>
          <w:p>
            <w:pPr>
              <w:spacing w:after="0"/>
              <w:rPr>
                <w:sz w:val="21"/>
                <w:szCs w:val="21"/>
                <w:color w:val="auto"/>
              </w:rPr>
            </w:pPr>
          </w:p>
        </w:tc>
        <w:tc>
          <w:tcPr>
            <w:tcW w:w="3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260" w:type="dxa"/>
            <w:vAlign w:val="bottom"/>
            <w:tcBorders>
              <w:bottom w:val="single" w:sz="8" w:color="auto"/>
            </w:tcBorders>
            <w:shd w:val="clear" w:color="auto" w:fill="E5FFFF"/>
          </w:tcPr>
          <w:p>
            <w:pPr>
              <w:spacing w:after="0"/>
              <w:rPr>
                <w:sz w:val="21"/>
                <w:szCs w:val="21"/>
                <w:color w:val="auto"/>
              </w:rPr>
            </w:pPr>
          </w:p>
        </w:tc>
        <w:tc>
          <w:tcPr>
            <w:tcW w:w="108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(19,892)</w:t>
            </w:r>
          </w:p>
        </w:tc>
        <w:tc>
          <w:tcPr>
            <w:tcW w:w="280" w:type="dxa"/>
            <w:vAlign w:val="bottom"/>
            <w:shd w:val="clear" w:color="auto" w:fill="E5FFFF"/>
          </w:tcPr>
          <w:p>
            <w:pPr>
              <w:spacing w:after="0"/>
              <w:rPr>
                <w:sz w:val="21"/>
                <w:szCs w:val="21"/>
                <w:color w:val="auto"/>
              </w:rPr>
            </w:pPr>
          </w:p>
        </w:tc>
        <w:tc>
          <w:tcPr>
            <w:tcW w:w="34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50"/>
        </w:trPr>
        <w:tc>
          <w:tcPr>
            <w:tcW w:w="66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 consolidated production tax credit income</w:t>
            </w:r>
          </w:p>
        </w:tc>
        <w:tc>
          <w:tcPr>
            <w:tcW w:w="260" w:type="dxa"/>
            <w:vAlign w:val="bottom"/>
            <w:tcBorders>
              <w:bottom w:val="single" w:sz="8" w:color="auto"/>
            </w:tcBorders>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7,549</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26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r>
      <w:tr>
        <w:trPr>
          <w:trHeight w:val="243"/>
        </w:trPr>
        <w:tc>
          <w:tcPr>
            <w:tcW w:w="6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6600" w:type="dxa"/>
            <w:vAlign w:val="bottom"/>
            <w:shd w:val="clear" w:color="auto" w:fill="E5FFFF"/>
          </w:tcPr>
          <w:p>
            <w:pPr>
              <w:ind w:left="180"/>
              <w:spacing w:after="0" w:line="243" w:lineRule="exact"/>
              <w:rPr>
                <w:sz w:val="20"/>
                <w:szCs w:val="20"/>
                <w:color w:val="auto"/>
              </w:rPr>
            </w:pPr>
            <w:r>
              <w:rPr>
                <w:rFonts w:ascii="Times New Roman" w:cs="Times New Roman" w:eastAsia="Times New Roman" w:hAnsi="Times New Roman"/>
                <w:sz w:val="22"/>
                <w:szCs w:val="22"/>
                <w:color w:val="auto"/>
              </w:rPr>
              <w:t>Cost of corn</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264,599</w:t>
            </w:r>
          </w:p>
        </w:tc>
        <w:tc>
          <w:tcPr>
            <w:tcW w:w="280" w:type="dxa"/>
            <w:vAlign w:val="bottom"/>
            <w:shd w:val="clear" w:color="auto" w:fill="E5FFFF"/>
          </w:tcPr>
          <w:p>
            <w:pPr>
              <w:spacing w:after="0"/>
              <w:rPr>
                <w:sz w:val="21"/>
                <w:szCs w:val="21"/>
                <w:color w:val="auto"/>
              </w:rPr>
            </w:pPr>
          </w:p>
        </w:tc>
        <w:tc>
          <w:tcPr>
            <w:tcW w:w="340" w:type="dxa"/>
            <w:vAlign w:val="bottom"/>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280,365</w:t>
            </w:r>
          </w:p>
        </w:tc>
      </w:tr>
      <w:tr>
        <w:trPr>
          <w:trHeight w:val="243"/>
        </w:trPr>
        <w:tc>
          <w:tcPr>
            <w:tcW w:w="6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Other cost of sales (1)</w:t>
            </w:r>
          </w:p>
        </w:tc>
        <w:tc>
          <w:tcPr>
            <w:tcW w:w="26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114,875</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121,686</w:t>
            </w: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260" w:type="dxa"/>
            <w:vAlign w:val="bottom"/>
            <w:tcBorders>
              <w:bottom w:val="single" w:sz="8" w:color="auto"/>
            </w:tcBorders>
            <w:shd w:val="clear" w:color="auto" w:fill="E5FFFF"/>
          </w:tcPr>
          <w:p>
            <w:pPr>
              <w:spacing w:after="0"/>
              <w:rPr>
                <w:sz w:val="21"/>
                <w:szCs w:val="21"/>
                <w:color w:val="auto"/>
              </w:rPr>
            </w:pPr>
          </w:p>
        </w:tc>
        <w:tc>
          <w:tcPr>
            <w:tcW w:w="108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(244,497)</w:t>
            </w:r>
          </w:p>
        </w:tc>
        <w:tc>
          <w:tcPr>
            <w:tcW w:w="280" w:type="dxa"/>
            <w:vAlign w:val="bottom"/>
            <w:shd w:val="clear" w:color="auto" w:fill="E5FFFF"/>
          </w:tcPr>
          <w:p>
            <w:pPr>
              <w:spacing w:after="0"/>
              <w:rPr>
                <w:sz w:val="21"/>
                <w:szCs w:val="21"/>
                <w:color w:val="auto"/>
              </w:rPr>
            </w:pPr>
          </w:p>
        </w:tc>
        <w:tc>
          <w:tcPr>
            <w:tcW w:w="34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(258,053)</w:t>
            </w:r>
          </w:p>
        </w:tc>
      </w:tr>
      <w:tr>
        <w:trPr>
          <w:trHeight w:val="250"/>
        </w:trPr>
        <w:tc>
          <w:tcPr>
            <w:tcW w:w="66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 cost of sales</w:t>
            </w:r>
          </w:p>
        </w:tc>
        <w:tc>
          <w:tcPr>
            <w:tcW w:w="260" w:type="dxa"/>
            <w:vAlign w:val="bottom"/>
            <w:tcBorders>
              <w:bottom w:val="single" w:sz="8" w:color="auto"/>
            </w:tcBorders>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134,977</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143,998</w:t>
            </w: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26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r>
      <w:tr>
        <w:trPr>
          <w:trHeight w:val="243"/>
        </w:trPr>
        <w:tc>
          <w:tcPr>
            <w:tcW w:w="6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2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74,176</w:t>
            </w:r>
          </w:p>
        </w:tc>
        <w:tc>
          <w:tcPr>
            <w:tcW w:w="280" w:type="dxa"/>
            <w:vAlign w:val="bottom"/>
          </w:tcPr>
          <w:p>
            <w:pPr>
              <w:spacing w:after="0"/>
              <w:rPr>
                <w:sz w:val="21"/>
                <w:szCs w:val="21"/>
                <w:color w:val="auto"/>
              </w:rPr>
            </w:pPr>
          </w:p>
        </w:tc>
        <w:tc>
          <w:tcPr>
            <w:tcW w:w="3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28,592</w:t>
            </w: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260" w:type="dxa"/>
            <w:vAlign w:val="bottom"/>
            <w:tcBorders>
              <w:bottom w:val="single" w:sz="8" w:color="auto"/>
            </w:tcBorders>
            <w:shd w:val="clear" w:color="auto" w:fill="E5FFFF"/>
          </w:tcPr>
          <w:p>
            <w:pPr>
              <w:spacing w:after="0"/>
              <w:rPr>
                <w:sz w:val="21"/>
                <w:szCs w:val="21"/>
                <w:color w:val="auto"/>
              </w:rPr>
            </w:pPr>
          </w:p>
        </w:tc>
        <w:tc>
          <w:tcPr>
            <w:tcW w:w="108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(45,105)</w:t>
            </w:r>
          </w:p>
        </w:tc>
        <w:tc>
          <w:tcPr>
            <w:tcW w:w="280" w:type="dxa"/>
            <w:vAlign w:val="bottom"/>
            <w:shd w:val="clear" w:color="auto" w:fill="E5FFFF"/>
          </w:tcPr>
          <w:p>
            <w:pPr>
              <w:spacing w:after="0"/>
              <w:rPr>
                <w:sz w:val="21"/>
                <w:szCs w:val="21"/>
                <w:color w:val="auto"/>
              </w:rPr>
            </w:pPr>
          </w:p>
        </w:tc>
        <w:tc>
          <w:tcPr>
            <w:tcW w:w="34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(14,250)</w:t>
            </w:r>
          </w:p>
        </w:tc>
      </w:tr>
      <w:tr>
        <w:trPr>
          <w:trHeight w:val="250"/>
        </w:trPr>
        <w:tc>
          <w:tcPr>
            <w:tcW w:w="66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 consolidated gross profit</w:t>
            </w:r>
          </w:p>
        </w:tc>
        <w:tc>
          <w:tcPr>
            <w:tcW w:w="260" w:type="dxa"/>
            <w:vAlign w:val="bottom"/>
            <w:tcBorders>
              <w:bottom w:val="single" w:sz="8" w:color="auto"/>
            </w:tcBorders>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29,071</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14,342</w:t>
            </w: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Depreciation and amortization expense</w:t>
            </w:r>
          </w:p>
        </w:tc>
        <w:tc>
          <w:tcPr>
            <w:tcW w:w="26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r>
      <w:tr>
        <w:trPr>
          <w:trHeight w:val="243"/>
        </w:trPr>
        <w:tc>
          <w:tcPr>
            <w:tcW w:w="6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2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13,196</w:t>
            </w:r>
          </w:p>
        </w:tc>
        <w:tc>
          <w:tcPr>
            <w:tcW w:w="280" w:type="dxa"/>
            <w:vAlign w:val="bottom"/>
          </w:tcPr>
          <w:p>
            <w:pPr>
              <w:spacing w:after="0"/>
              <w:rPr>
                <w:sz w:val="21"/>
                <w:szCs w:val="21"/>
                <w:color w:val="auto"/>
              </w:rPr>
            </w:pPr>
          </w:p>
        </w:tc>
        <w:tc>
          <w:tcPr>
            <w:tcW w:w="3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10,239</w:t>
            </w: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260" w:type="dxa"/>
            <w:vAlign w:val="bottom"/>
            <w:tcBorders>
              <w:bottom w:val="single" w:sz="8" w:color="auto"/>
            </w:tcBorders>
            <w:shd w:val="clear" w:color="auto" w:fill="E5FFFF"/>
          </w:tcPr>
          <w:p>
            <w:pPr>
              <w:spacing w:after="0"/>
              <w:rPr>
                <w:sz w:val="21"/>
                <w:szCs w:val="21"/>
                <w:color w:val="auto"/>
              </w:rPr>
            </w:pPr>
          </w:p>
        </w:tc>
        <w:tc>
          <w:tcPr>
            <w:tcW w:w="108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(6,486)</w:t>
            </w:r>
          </w:p>
        </w:tc>
        <w:tc>
          <w:tcPr>
            <w:tcW w:w="280" w:type="dxa"/>
            <w:vAlign w:val="bottom"/>
            <w:shd w:val="clear" w:color="auto" w:fill="E5FFFF"/>
          </w:tcPr>
          <w:p>
            <w:pPr>
              <w:spacing w:after="0"/>
              <w:rPr>
                <w:sz w:val="21"/>
                <w:szCs w:val="21"/>
                <w:color w:val="auto"/>
              </w:rPr>
            </w:pPr>
          </w:p>
        </w:tc>
        <w:tc>
          <w:tcPr>
            <w:tcW w:w="34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(5,220)</w:t>
            </w:r>
          </w:p>
        </w:tc>
      </w:tr>
      <w:tr>
        <w:trPr>
          <w:trHeight w:val="250"/>
        </w:trPr>
        <w:tc>
          <w:tcPr>
            <w:tcW w:w="66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 consolidated depreciation and amortization expense</w:t>
            </w:r>
          </w:p>
        </w:tc>
        <w:tc>
          <w:tcPr>
            <w:tcW w:w="260" w:type="dxa"/>
            <w:vAlign w:val="bottom"/>
            <w:tcBorders>
              <w:bottom w:val="single" w:sz="8" w:color="auto"/>
            </w:tcBorders>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6,710</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5,019</w:t>
            </w: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Income before taxes</w:t>
            </w:r>
          </w:p>
        </w:tc>
        <w:tc>
          <w:tcPr>
            <w:tcW w:w="26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r>
      <w:tr>
        <w:trPr>
          <w:trHeight w:val="243"/>
        </w:trPr>
        <w:tc>
          <w:tcPr>
            <w:tcW w:w="6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2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68,802</w:t>
            </w:r>
          </w:p>
        </w:tc>
        <w:tc>
          <w:tcPr>
            <w:tcW w:w="280" w:type="dxa"/>
            <w:vAlign w:val="bottom"/>
          </w:tcPr>
          <w:p>
            <w:pPr>
              <w:spacing w:after="0"/>
              <w:rPr>
                <w:sz w:val="21"/>
                <w:szCs w:val="21"/>
                <w:color w:val="auto"/>
              </w:rPr>
            </w:pPr>
          </w:p>
        </w:tc>
        <w:tc>
          <w:tcPr>
            <w:tcW w:w="3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25,362</w:t>
            </w: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Reconciling Item: Equity method ethanol investment</w:t>
            </w:r>
          </w:p>
        </w:tc>
        <w:tc>
          <w:tcPr>
            <w:tcW w:w="260" w:type="dxa"/>
            <w:vAlign w:val="bottom"/>
            <w:tcBorders>
              <w:bottom w:val="single" w:sz="8" w:color="auto"/>
            </w:tcBorders>
            <w:shd w:val="clear" w:color="auto" w:fill="E5FFFF"/>
          </w:tcPr>
          <w:p>
            <w:pPr>
              <w:spacing w:after="0"/>
              <w:rPr>
                <w:sz w:val="21"/>
                <w:szCs w:val="21"/>
                <w:color w:val="auto"/>
              </w:rPr>
            </w:pPr>
          </w:p>
        </w:tc>
        <w:tc>
          <w:tcPr>
            <w:tcW w:w="108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(42,687)</w:t>
            </w:r>
          </w:p>
        </w:tc>
        <w:tc>
          <w:tcPr>
            <w:tcW w:w="280" w:type="dxa"/>
            <w:vAlign w:val="bottom"/>
            <w:shd w:val="clear" w:color="auto" w:fill="E5FFFF"/>
          </w:tcPr>
          <w:p>
            <w:pPr>
              <w:spacing w:after="0"/>
              <w:rPr>
                <w:sz w:val="21"/>
                <w:szCs w:val="21"/>
                <w:color w:val="auto"/>
              </w:rPr>
            </w:pPr>
          </w:p>
        </w:tc>
        <w:tc>
          <w:tcPr>
            <w:tcW w:w="34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(11,736)</w:t>
            </w:r>
          </w:p>
        </w:tc>
      </w:tr>
      <w:tr>
        <w:trPr>
          <w:trHeight w:val="237"/>
        </w:trPr>
        <w:tc>
          <w:tcPr>
            <w:tcW w:w="6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 consolidated income before income taxes</w:t>
            </w:r>
          </w:p>
        </w:tc>
        <w:tc>
          <w:tcPr>
            <w:tcW w:w="260" w:type="dxa"/>
            <w:vAlign w:val="bottom"/>
          </w:tcPr>
          <w:p>
            <w:pPr>
              <w:spacing w:after="0"/>
              <w:rPr>
                <w:sz w:val="20"/>
                <w:szCs w:val="20"/>
                <w:color w:val="auto"/>
              </w:rPr>
            </w:pPr>
          </w:p>
        </w:tc>
        <w:tc>
          <w:tcPr>
            <w:tcW w:w="10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26,115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13,626</w:t>
            </w:r>
          </w:p>
        </w:tc>
      </w:tr>
      <w:tr>
        <w:trPr>
          <w:trHeight w:val="243"/>
        </w:trPr>
        <w:tc>
          <w:tcPr>
            <w:tcW w:w="6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Provision for income taxes</w:t>
            </w:r>
          </w:p>
        </w:tc>
        <w:tc>
          <w:tcPr>
            <w:tcW w:w="260" w:type="dxa"/>
            <w:vAlign w:val="bottom"/>
            <w:tcBorders>
              <w:bottom w:val="single" w:sz="8" w:color="auto"/>
            </w:tcBorders>
            <w:shd w:val="clear" w:color="auto" w:fill="E5FFFF"/>
          </w:tcPr>
          <w:p>
            <w:pPr>
              <w:spacing w:after="0"/>
              <w:rPr>
                <w:sz w:val="21"/>
                <w:szCs w:val="21"/>
                <w:color w:val="auto"/>
              </w:rPr>
            </w:pPr>
          </w:p>
        </w:tc>
        <w:tc>
          <w:tcPr>
            <w:tcW w:w="108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(4,437)</w:t>
            </w:r>
          </w:p>
        </w:tc>
        <w:tc>
          <w:tcPr>
            <w:tcW w:w="280" w:type="dxa"/>
            <w:vAlign w:val="bottom"/>
            <w:shd w:val="clear" w:color="auto" w:fill="E5FFFF"/>
          </w:tcPr>
          <w:p>
            <w:pPr>
              <w:spacing w:after="0"/>
              <w:rPr>
                <w:sz w:val="21"/>
                <w:szCs w:val="21"/>
                <w:color w:val="auto"/>
              </w:rPr>
            </w:pPr>
          </w:p>
        </w:tc>
        <w:tc>
          <w:tcPr>
            <w:tcW w:w="340" w:type="dxa"/>
            <w:vAlign w:val="bottom"/>
            <w:tcBorders>
              <w:bottom w:val="single" w:sz="8" w:color="auto"/>
            </w:tcBorders>
            <w:shd w:val="clear" w:color="auto" w:fill="E5FFFF"/>
          </w:tcPr>
          <w:p>
            <w:pPr>
              <w:spacing w:after="0"/>
              <w:rPr>
                <w:sz w:val="21"/>
                <w:szCs w:val="21"/>
                <w:color w:val="auto"/>
              </w:rPr>
            </w:pPr>
          </w:p>
        </w:tc>
        <w:tc>
          <w:tcPr>
            <w:tcW w:w="100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(2,954)</w:t>
            </w:r>
          </w:p>
        </w:tc>
      </w:tr>
      <w:tr>
        <w:trPr>
          <w:trHeight w:val="250"/>
        </w:trPr>
        <w:tc>
          <w:tcPr>
            <w:tcW w:w="66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 consolidated net income</w:t>
            </w:r>
          </w:p>
        </w:tc>
        <w:tc>
          <w:tcPr>
            <w:tcW w:w="260" w:type="dxa"/>
            <w:vAlign w:val="bottom"/>
            <w:tcBorders>
              <w:bottom w:val="single" w:sz="8" w:color="auto"/>
            </w:tcBorders>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21,678</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10,672</w:t>
            </w: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580" w:hanging="329"/>
        <w:spacing w:after="0" w:line="244" w:lineRule="auto"/>
        <w:tabs>
          <w:tab w:leader="none" w:pos="5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within “Other cost of sales” consist primarily of depreciation, other raw materials, third-party freight charges, purchasing and receiving costs, inspection costs, other distribution expenses, warehousing costs, plant repair and maintenance costs, production labor and related payroll costs, and general facility overhead charges.</w:t>
      </w:r>
    </w:p>
    <w:p>
      <w:pPr>
        <w:spacing w:after="0" w:line="1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20"/>
          </w:cols>
          <w:pgMar w:left="320" w:top="111" w:right="6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Management’s Discussion and Analysis of Financial Condition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Ethanol and By-Products</w:t>
      </w:r>
    </w:p>
    <w:p>
      <w:pPr>
        <w:spacing w:after="0" w:line="23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At April 30, 2026, we had investments in three ethanol limited liability companies, in two of which we have a majority ownership interest. The following table is a summary of ethanol entity ownership interests at April 30, 2026:</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880" w:type="dxa"/>
            <w:vAlign w:val="bottom"/>
            <w:tcBorders>
              <w:top w:val="single" w:sz="8" w:color="auto"/>
              <w:left w:val="single" w:sz="8" w:color="auto"/>
              <w:right w:val="single" w:sz="8" w:color="auto"/>
            </w:tcBorders>
          </w:tcPr>
          <w:p>
            <w:pPr>
              <w:spacing w:after="0"/>
              <w:rPr>
                <w:sz w:val="19"/>
                <w:szCs w:val="19"/>
                <w:color w:val="auto"/>
              </w:rPr>
            </w:pPr>
          </w:p>
        </w:tc>
        <w:tc>
          <w:tcPr>
            <w:tcW w:w="2620" w:type="dxa"/>
            <w:vAlign w:val="bottom"/>
            <w:tcBorders>
              <w:top w:val="single" w:sz="8" w:color="auto"/>
              <w:right w:val="single" w:sz="8" w:color="auto"/>
            </w:tcBorders>
          </w:tcPr>
          <w:p>
            <w:pPr>
              <w:spacing w:after="0"/>
              <w:rPr>
                <w:sz w:val="19"/>
                <w:szCs w:val="19"/>
                <w:color w:val="auto"/>
              </w:rPr>
            </w:pPr>
          </w:p>
        </w:tc>
        <w:tc>
          <w:tcPr>
            <w:tcW w:w="2620" w:type="dxa"/>
            <w:vAlign w:val="bottom"/>
            <w:tcBorders>
              <w:top w:val="single" w:sz="8" w:color="auto"/>
              <w:right w:val="single" w:sz="8" w:color="auto"/>
            </w:tcBorders>
          </w:tcPr>
          <w:p>
            <w:pPr>
              <w:jc w:val="right"/>
              <w:ind w:right="572"/>
              <w:spacing w:after="0" w:line="225" w:lineRule="exact"/>
              <w:rPr>
                <w:sz w:val="20"/>
                <w:szCs w:val="20"/>
                <w:color w:val="auto"/>
              </w:rPr>
            </w:pPr>
            <w:r>
              <w:rPr>
                <w:rFonts w:ascii="Times New Roman" w:cs="Times New Roman" w:eastAsia="Times New Roman" w:hAnsi="Times New Roman"/>
                <w:sz w:val="22"/>
                <w:szCs w:val="22"/>
                <w:b w:val="1"/>
                <w:bCs w:val="1"/>
                <w:color w:val="auto"/>
              </w:rPr>
              <w:t>REX’s Current</w:t>
            </w:r>
          </w:p>
        </w:tc>
      </w:tr>
      <w:tr>
        <w:trPr>
          <w:trHeight w:val="274"/>
        </w:trPr>
        <w:tc>
          <w:tcPr>
            <w:tcW w:w="48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2620" w:type="dxa"/>
            <w:vAlign w:val="bottom"/>
            <w:tcBorders>
              <w:bottom w:val="single" w:sz="8" w:color="auto"/>
              <w:right w:val="single" w:sz="8" w:color="auto"/>
            </w:tcBorders>
          </w:tcPr>
          <w:p>
            <w:pPr>
              <w:jc w:val="right"/>
              <w:ind w:right="852"/>
              <w:spacing w:after="0"/>
              <w:rPr>
                <w:sz w:val="20"/>
                <w:szCs w:val="20"/>
                <w:color w:val="auto"/>
              </w:rPr>
            </w:pPr>
            <w:r>
              <w:rPr>
                <w:rFonts w:ascii="Times New Roman" w:cs="Times New Roman" w:eastAsia="Times New Roman" w:hAnsi="Times New Roman"/>
                <w:sz w:val="22"/>
                <w:szCs w:val="22"/>
                <w:b w:val="1"/>
                <w:bCs w:val="1"/>
                <w:color w:val="auto"/>
              </w:rPr>
              <w:t>Location</w:t>
            </w:r>
          </w:p>
        </w:tc>
        <w:tc>
          <w:tcPr>
            <w:tcW w:w="262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Ownership Interest</w:t>
            </w:r>
          </w:p>
        </w:tc>
      </w:tr>
      <w:tr>
        <w:trPr>
          <w:trHeight w:val="237"/>
        </w:trPr>
        <w:tc>
          <w:tcPr>
            <w:tcW w:w="4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One Earth Energy, LLC</w:t>
            </w:r>
          </w:p>
        </w:tc>
        <w:tc>
          <w:tcPr>
            <w:tcW w:w="262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Gibson City, IL</w:t>
            </w:r>
          </w:p>
        </w:tc>
        <w:tc>
          <w:tcPr>
            <w:tcW w:w="262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76.1%</w:t>
            </w:r>
          </w:p>
        </w:tc>
      </w:tr>
      <w:tr>
        <w:trPr>
          <w:trHeight w:val="237"/>
        </w:trPr>
        <w:tc>
          <w:tcPr>
            <w:tcW w:w="4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NuGen Energy, LLC</w:t>
            </w:r>
          </w:p>
        </w:tc>
        <w:tc>
          <w:tcPr>
            <w:tcW w:w="262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Marion, SD</w:t>
            </w:r>
          </w:p>
        </w:tc>
        <w:tc>
          <w:tcPr>
            <w:tcW w:w="262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99.7%</w:t>
            </w:r>
          </w:p>
        </w:tc>
      </w:tr>
      <w:tr>
        <w:trPr>
          <w:trHeight w:val="209"/>
        </w:trPr>
        <w:tc>
          <w:tcPr>
            <w:tcW w:w="48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Big River Resources, LLC:</w:t>
            </w:r>
          </w:p>
        </w:tc>
        <w:tc>
          <w:tcPr>
            <w:tcW w:w="262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r>
      <w:tr>
        <w:trPr>
          <w:trHeight w:val="243"/>
        </w:trPr>
        <w:tc>
          <w:tcPr>
            <w:tcW w:w="488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W Burlington, LLC</w:t>
            </w:r>
          </w:p>
        </w:tc>
        <w:tc>
          <w:tcPr>
            <w:tcW w:w="262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 Burlington, IA</w:t>
            </w:r>
          </w:p>
        </w:tc>
        <w:tc>
          <w:tcPr>
            <w:tcW w:w="262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488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Galva, LLC</w:t>
            </w:r>
          </w:p>
        </w:tc>
        <w:tc>
          <w:tcPr>
            <w:tcW w:w="262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Galva, IL</w:t>
            </w:r>
          </w:p>
        </w:tc>
        <w:tc>
          <w:tcPr>
            <w:tcW w:w="262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488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United Energy, LLC</w:t>
            </w:r>
          </w:p>
        </w:tc>
        <w:tc>
          <w:tcPr>
            <w:tcW w:w="262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Dyersville, IA</w:t>
            </w:r>
          </w:p>
        </w:tc>
        <w:tc>
          <w:tcPr>
            <w:tcW w:w="262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70"/>
        </w:trPr>
        <w:tc>
          <w:tcPr>
            <w:tcW w:w="488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Big River Resources Boyceville, LLC</w:t>
            </w:r>
          </w:p>
        </w:tc>
        <w:tc>
          <w:tcPr>
            <w:tcW w:w="262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Boyceville, WI</w:t>
            </w:r>
          </w:p>
        </w:tc>
        <w:tc>
          <w:tcPr>
            <w:tcW w:w="262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10.3%</w:t>
            </w:r>
          </w:p>
        </w:tc>
      </w:tr>
    </w:tbl>
    <w:p>
      <w:pPr>
        <w:spacing w:after="0" w:line="216"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2"/>
          <w:szCs w:val="22"/>
          <w:color w:val="auto"/>
        </w:rPr>
        <w:t>Our ethanol operations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tariffs,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21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208"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1"/>
          <w:szCs w:val="21"/>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sales contracts with an appropriate quantity of corn purchase contracts over a given period of time when we can obtain an adequate gross margin resulting from the crush spread inherent in the contracts we have executed. However, the market for future ethanol sales contracts generally lags the spot</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8" w:name="page29"/>
    <w:bookmarkEnd w:id="28"/>
    <w:p>
      <w:pPr>
        <w:ind w:right="20"/>
        <w:spacing w:after="0" w:line="238" w:lineRule="auto"/>
        <w:rPr>
          <w:sz w:val="20"/>
          <w:szCs w:val="20"/>
          <w:color w:val="auto"/>
        </w:rPr>
      </w:pPr>
      <w:r>
        <w:rPr>
          <w:rFonts w:ascii="Times New Roman" w:cs="Times New Roman" w:eastAsia="Times New Roman" w:hAnsi="Times New Roman"/>
          <w:sz w:val="22"/>
          <w:szCs w:val="22"/>
          <w:color w:val="auto"/>
        </w:rPr>
        <w:t>market with respect to ethanol prices.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One Earth Energy, LLC Carbon Sequestration and Plant Expansion</w:t>
      </w:r>
    </w:p>
    <w:p>
      <w:pPr>
        <w:spacing w:after="0" w:line="237" w:lineRule="exact"/>
        <w:rPr>
          <w:sz w:val="20"/>
          <w:szCs w:val="20"/>
          <w:color w:val="auto"/>
        </w:rPr>
      </w:pPr>
    </w:p>
    <w:p>
      <w:pPr>
        <w:ind w:right="120" w:firstLine="648"/>
        <w:spacing w:after="0" w:line="235" w:lineRule="auto"/>
        <w:rPr>
          <w:sz w:val="20"/>
          <w:szCs w:val="20"/>
          <w:color w:val="auto"/>
        </w:rPr>
      </w:pPr>
      <w:r>
        <w:rPr>
          <w:rFonts w:ascii="Times New Roman" w:cs="Times New Roman" w:eastAsia="Times New Roman" w:hAnsi="Times New Roman"/>
          <w:sz w:val="21"/>
          <w:szCs w:val="21"/>
          <w:color w:val="auto"/>
        </w:rPr>
        <w:t>One Earth Sequestration, LLC, a wholly owned subsidiary of One Earth, is in the developmental stage of a carbon sequestration project near the One Earth ethanol plant. In October 2022, we applied to the EPA for a Class VI injection well permit for three wells, and we continue to provide information to the EPA upon request during the technical review of our application. We currently expect the EPA to prepare a draft permit by July 2026 and make a final permit decision by November 2026, according to the EPA’s Class VI Permit Tracker Dashboard on their website. We also must obtain certain state and county permits for the sequestration site and connector pipeline. We have completed the construction of the capture and compression facility to capture, dehydrate, and compress carbon dioxide from the One Earth ethanol plant to a state suitable for sequestration. Testing has not yet been completed and we cannot begin construction of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connector pipeline between the One Earth compression facility and the sequestration well until further permits and approvals are received.</w:t>
      </w:r>
    </w:p>
    <w:p>
      <w:pPr>
        <w:spacing w:after="0" w:line="210"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Although we have made meaningful progress and significant investments in the carbon sequestration project at One Earth, we continue to work with the various government agencies involved to obtain all required permits and approvals, with no assurance of the ultimate success or timing of the project. Also see the discussion under “Trends and Uncertainties” relating to the impact of certain recently adopted legislation and certain recently proposed legislation that, if enacted, could affect our carbon sequestration project.</w:t>
      </w:r>
    </w:p>
    <w:p>
      <w:pPr>
        <w:spacing w:after="0" w:line="204"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We are also expanding the One Earth ethanol plant. We received a construction permit from the EPA to increase production from 150 million gallons of ethanol per year to 175 million gallons of ethanol per year. Once we achieve that level of production, we intend to apply for another permit to increase production to 200 million gallons per year. We continue to work to identify ways to further reduce our CI score at the One Earth plant with the intention of maximizing tax credits available under the IRA and OBBBA.</w:t>
      </w:r>
    </w:p>
    <w:p>
      <w:pPr>
        <w:spacing w:after="0" w:line="204"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1"/>
          <w:szCs w:val="21"/>
          <w:color w:val="auto"/>
        </w:rPr>
        <w:t>We currently budget capital expenditures for both the expansion and sequestration projects at One Earth to be approximately $220 million to $230 million, subject to further refinement as we move forward, including impacts from inflation. We plan to pay for all expenditures from available cash. As of April 30, 2026, we had spent $58.7 million since inception toward the carbon sequestration project and were contractually obligated to spend an additional $0.2 million. If the carbon sequestration project is successful, we believe we will qualify for tax credits under section 45Q, based on tons of carbon sequestered, and section 45Z, based on gallons of ethanol produced, as outlined in the IRA and OBBBA. Companies may elect either the 45Q credit or the 45Z credit in periods in which both tax credits are available. As of April 30, 2026, we had spent $117.7 million since inception and were contractually committed to spend an additional $9.2 million toward plant capacity expansion at One Earth.</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ind w:firstLine="648"/>
        <w:spacing w:after="0" w:line="234" w:lineRule="auto"/>
        <w:rPr>
          <w:sz w:val="20"/>
          <w:szCs w:val="20"/>
          <w:color w:val="auto"/>
        </w:rPr>
      </w:pPr>
      <w:r>
        <w:rPr>
          <w:rFonts w:ascii="Times New Roman" w:cs="Times New Roman" w:eastAsia="Times New Roman" w:hAnsi="Times New Roman"/>
          <w:sz w:val="22"/>
          <w:szCs w:val="22"/>
          <w:color w:val="auto"/>
        </w:rPr>
        <w:t>The IRA created a new Clean Fuel Production Credit, available for calendar years 2025 – 2027 which, based on proposed rulemaking by the U.S. Department of Treasury, established a tax credit that utilizes a sliding scale where credits can be earned incrementally between $0.02 and $0.20 ($0.10 and $1.00 if prevailing wage and apprenticeship requirements are met) per gallon of non-SAF fuels based on an ethanol plant’s GHG reduction below a 50 CI score threshold, with the first two or ten cents credit earned upon achieving a CI score below 47.5, to incentivize further increases in plant efficiencies within the industry. The OBBBA extended the time period during which 45Z credits can be claimed by two years, through December 31, 2029. The. U.S. Department of the Treasury issued proposed rules on February 3, 2026 on qualification for 45Z tax credits. Based on proposed regulations, we recognized approximately $31.7 million and $7.5 million in 45Z tax credits through our consolidated subsidiaries for fiscal year 2025 and the first quarter of fiscal year 2026, respectively. Public hearings were held on the proposed rules in 2026.</w:t>
      </w:r>
    </w:p>
    <w:p>
      <w:pPr>
        <w:spacing w:after="0" w:line="207"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21"/>
          <w:szCs w:val="21"/>
          <w:color w:val="auto"/>
        </w:rPr>
        <w:t>In May 2023, NuGen, our majority owned ethanol plant in Marion, South Dakota, signed an agreement to be part of Summit Carbon Solutions’ carbon capture and storage pipeline. Should Summit Carbon Solutions be able to obtain all necessary permits and approvals, the agreement would allow NuGen to share in the economic benefits of tax credits through the sale of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output of its ethanol production facility for sequestration, as well as to reduce its net carbon emissions. In March 2025,</w:t>
      </w:r>
    </w:p>
    <w:p>
      <w:pPr>
        <w:spacing w:after="0" w:line="4"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22"/>
          <w:szCs w:val="22"/>
          <w:color w:val="auto"/>
        </w:rPr>
        <w:t>South Dakota enacted a law that bans the use of eminent domain in connection with CO</w:t>
      </w:r>
      <w:r>
        <w:rPr>
          <w:rFonts w:ascii="Times New Roman" w:cs="Times New Roman" w:eastAsia="Times New Roman" w:hAnsi="Times New Roman"/>
          <w:sz w:val="35"/>
          <w:szCs w:val="35"/>
          <w:color w:val="auto"/>
          <w:vertAlign w:val="subscript"/>
        </w:rPr>
        <w:t>2</w:t>
      </w:r>
      <w:r>
        <w:rPr>
          <w:rFonts w:ascii="Times New Roman" w:cs="Times New Roman" w:eastAsia="Times New Roman" w:hAnsi="Times New Roman"/>
          <w:sz w:val="22"/>
          <w:szCs w:val="22"/>
          <w:color w:val="auto"/>
        </w:rPr>
        <w:t xml:space="preserve"> pipelines. In addition, in March 2026, a North Dakota Court voided the permits issued to Summit Carbon Solutions for underground storage of carbon dioxide as the Court has deemed the law under which the permits were issued to be unconstitutional. Summit Carbon Solutions is analyzing the decision and is contemplating next steps. These actions have delayed and could make the sequestration project for the NuGen facility more difficult for Summit Carbon Solutions to complete.</w:t>
      </w:r>
    </w:p>
    <w:p>
      <w:pPr>
        <w:spacing w:after="0" w:line="209" w:lineRule="exact"/>
        <w:rPr>
          <w:sz w:val="20"/>
          <w:szCs w:val="20"/>
          <w:color w:val="auto"/>
        </w:rPr>
      </w:pPr>
    </w:p>
    <w:p>
      <w:pPr>
        <w:ind w:right="320" w:firstLine="648"/>
        <w:spacing w:after="0" w:line="244" w:lineRule="auto"/>
        <w:rPr>
          <w:sz w:val="20"/>
          <w:szCs w:val="20"/>
          <w:color w:val="auto"/>
        </w:rPr>
      </w:pPr>
      <w:r>
        <w:rPr>
          <w:rFonts w:ascii="Times New Roman" w:cs="Times New Roman" w:eastAsia="Times New Roman" w:hAnsi="Times New Roman"/>
          <w:sz w:val="22"/>
          <w:szCs w:val="22"/>
          <w:color w:val="auto"/>
        </w:rPr>
        <w:t>We plan to seek and evaluate various investment opportunities, including ethanol and/or energy related, carbon sequestration, agricultural or other ventures we believe fit our investment criteria. We can make no assurances that we will be successful in our efforts to find such opportunities.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Refined Coal</w:t>
      </w:r>
    </w:p>
    <w:p>
      <w:pPr>
        <w:spacing w:after="0" w:line="237" w:lineRule="exact"/>
        <w:rPr>
          <w:sz w:val="20"/>
          <w:szCs w:val="20"/>
          <w:color w:val="auto"/>
        </w:rPr>
      </w:pPr>
    </w:p>
    <w:p>
      <w:pPr>
        <w:ind w:right="140" w:firstLine="648"/>
        <w:spacing w:after="0" w:line="235" w:lineRule="auto"/>
        <w:rPr>
          <w:sz w:val="20"/>
          <w:szCs w:val="20"/>
          <w:color w:val="auto"/>
        </w:rPr>
      </w:pPr>
      <w:r>
        <w:rPr>
          <w:rFonts w:ascii="Times New Roman" w:cs="Times New Roman" w:eastAsia="Times New Roman" w:hAnsi="Times New Roman"/>
          <w:sz w:val="22"/>
          <w:szCs w:val="22"/>
          <w:color w:val="auto"/>
        </w:rPr>
        <w:t>On August 10, 2017, we purchased, through a 95.35% owned subsidiary, the entire ownership interest of an entity that owned a refined coal facility. We began operating the refined coal facility immediately after the acquisition. Using licensed technology, our plant applied two separate chemicals to convert feedstock coal into refined coal, which was sold to the end user of the refined coal. The refined coal operating results were subsidized by federal production tax credits through November 18, 2021, subject to meeting qualified emissions reductions as governed by Section 45 of the IRC. We ceased operating the facility on November 18, 2021 and subsequently sold the facility. The approximately $58.2 million in federal production tax credits received through the ownership of this facility remain under IRS audit. That audit is in the process of being finalized, with the Company expecting to retain all federal production credits claimed for this project.</w:t>
      </w:r>
    </w:p>
    <w:p>
      <w:pPr>
        <w:spacing w:after="0" w:line="1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38"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During the three months ended April 30, 2026, we did not change any of our critical accounting policies as disclosed in our 2025 Annual Report on Form 10-K as filed with the Securities and Exchange Commission on March 30,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237"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All references in this report to a particular fiscal year are to REX’s fiscal year ended January 31. The Company refers to its fiscal year by reference to the year immediately preceding the January 31 fiscal year end date. For example, “fiscal year 2026” means the period February 1, 2026 to January 31, 2027. The Company includes the results of operations of One Earth in its Consolidated Statements of Operations on a delayed basis of one month as One Earth has a fiscal year end of December 31.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Trends and Uncertainties</w:t>
      </w:r>
    </w:p>
    <w:p>
      <w:pPr>
        <w:spacing w:after="0" w:line="23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Renewable Fuel Standard II, established in October 2010, has been an important factor in the growth of ethanol usage in the United States. There has been much uncertainty in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In addition, under RFS II, a small refiner that processes fewer than 75,000 barrels of oil per day can petition the EPA for a waiver of their requirement to submit RINs. The EPA, through consultation with the United States Department of Energy and the USDA, can grant the refiner a full or partial waiver, or deny the waiver. The waiving of a refiner’s obligation effectively lowers the amount of renewable fuels required to be blended, and by extension the amount of RINs that need to be retired, which can impact their values and ultimately blending levels of renewable fuels. There are multiple ongoing legal challenges to how the EPA has handled SREs and RFS rulemaking. On August 22, 2025, the EPA ruled on much of the backlog of SREs, issuing 63 full exemptions, 77 partial exemptions of 50%, 28 denials and 7 ruled as ineligible. On November 7, 2025, the EPA issued two 100% waivers, twelve 50% waivers and two denials. As of May 21, 2026, there were 40 SRE petitions pending from compliance years 2023-2025.</w:t>
      </w:r>
    </w:p>
    <w:p>
      <w:pPr>
        <w:spacing w:after="0" w:line="208"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The EPA has issued RVOs for calendar years 2023-2025. The volumes from conventional biofuels (which includes corn-based ethanol) were 15.0 billion gallons for 2023 through 2025. Additionally, in 2023, the EPA restored 250 million gallons previously waived. On March 27, 2026, the EPA issued total RVOs for 2026 and 2027 of 15.0 billion gallons of conventional ethanol for each year.</w:t>
      </w:r>
    </w:p>
    <w:p>
      <w:pPr>
        <w:spacing w:after="0" w:line="20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The EPA issued emergency waivers allowing the sale of E-15 gasoline for the 2026 summer months. 2026 will represent the fifth consecutive year for these emergency waivers. The EPA has not granted E-15 the same Reid vapor pressure waiver as E-10, so absent the emergency waivers, E-15 may not be sold in most states from June 1 to September 15. Efforts continue in the United States Congress to pass legislation allowing for the sale of E-15 gasoline year-round. On May 13, 2026, House Resolution 1346</w:t>
      </w:r>
    </w:p>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1" w:name="page32"/>
    <w:bookmarkEnd w:id="31"/>
    <w:p>
      <w:pPr>
        <w:ind w:right="840"/>
        <w:spacing w:after="0" w:line="259" w:lineRule="auto"/>
        <w:rPr>
          <w:sz w:val="20"/>
          <w:szCs w:val="20"/>
          <w:color w:val="auto"/>
        </w:rPr>
      </w:pPr>
      <w:r>
        <w:rPr>
          <w:rFonts w:ascii="Times New Roman" w:cs="Times New Roman" w:eastAsia="Times New Roman" w:hAnsi="Times New Roman"/>
          <w:sz w:val="22"/>
          <w:szCs w:val="22"/>
          <w:color w:val="auto"/>
        </w:rPr>
        <w:t>was passed by the House of Representative which would allow for year-round E-15 sales, but there is no set timeline for consideration in the Senate.</w:t>
      </w:r>
    </w:p>
    <w:p>
      <w:pPr>
        <w:spacing w:after="0" w:line="184" w:lineRule="exact"/>
        <w:rPr>
          <w:sz w:val="20"/>
          <w:szCs w:val="20"/>
          <w:color w:val="auto"/>
        </w:rPr>
      </w:pPr>
    </w:p>
    <w:p>
      <w:pPr>
        <w:ind w:right="220" w:firstLine="648"/>
        <w:spacing w:after="0" w:line="248" w:lineRule="auto"/>
        <w:rPr>
          <w:sz w:val="20"/>
          <w:szCs w:val="20"/>
          <w:color w:val="auto"/>
        </w:rPr>
      </w:pPr>
      <w:r>
        <w:rPr>
          <w:rFonts w:ascii="Times New Roman" w:cs="Times New Roman" w:eastAsia="Times New Roman" w:hAnsi="Times New Roman"/>
          <w:sz w:val="21"/>
          <w:szCs w:val="21"/>
          <w:color w:val="auto"/>
        </w:rPr>
        <w:t>The IRA, signed into law on August 16, 2022, created a new Clean Fuel Production Credit, Section 45Z, originally available for years 2025 to 2027. Based on proposed rulemaking by the United States Department of Treasury, the Clean Fuel Production Credit will be established utilizing a sliding scale where tax credits may be earned incrementally between $0.02 and $0.20 ($0.10 and $1.00 if prevailing wage and apprenticeship requirements are met) per gallon of non-SAF fuels based on a plant’s GHG reduction below a 50 CI score threshold, with the first two or ten cents credit earned upon achieving a CI score below 47.5. The IRA also raises the carbon capture tax credit under Section 45Q from $50 per metric ton to $85 per metric ton. Companies may elect either the 45Q credit or the 45Z credit in periods in which both tax credits are available.</w:t>
      </w:r>
    </w:p>
    <w:p>
      <w:pPr>
        <w:spacing w:after="0" w:line="197"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2"/>
          <w:szCs w:val="22"/>
          <w:color w:val="auto"/>
        </w:rPr>
        <w:t>The OBBBA introduced major revisions to clean energy tax credits. Key provisions include extending the 45Z credit through December 31, 2029, removing the indirect land-use change penalty for crop-based feedstocks beginning in 2026, limiting eligibility to feedstocks under the USMCA, imposing FEOC restrictions, and prohibiting negative emissions rates except from animal manure. It also modified the 45Q tax credit for facilities placed in service after the bill enactment but maintained the $85 per ton tax credit if the prevailing wage and apprenticeship requirements are met. 45Q credits are available for 12 years from the time CO</w:t>
      </w:r>
      <w:r>
        <w:rPr>
          <w:rFonts w:ascii="Times New Roman" w:cs="Times New Roman" w:eastAsia="Times New Roman" w:hAnsi="Times New Roman"/>
          <w:sz w:val="35"/>
          <w:szCs w:val="35"/>
          <w:color w:val="auto"/>
          <w:vertAlign w:val="subscript"/>
        </w:rPr>
        <w:t>2</w:t>
      </w:r>
      <w:r>
        <w:rPr>
          <w:rFonts w:ascii="Times New Roman" w:cs="Times New Roman" w:eastAsia="Times New Roman" w:hAnsi="Times New Roman"/>
          <w:sz w:val="22"/>
          <w:szCs w:val="22"/>
          <w:color w:val="auto"/>
        </w:rPr>
        <w:t xml:space="preserve"> injection begins.</w:t>
      </w:r>
    </w:p>
    <w:p>
      <w:pPr>
        <w:spacing w:after="0" w:line="6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1"/>
          <w:szCs w:val="21"/>
          <w:color w:val="auto"/>
        </w:rPr>
        <w:t>We have secured land easements from all necessary landowners to allow the construction of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connector pipeline on their land from the ethanol plant to the first two injection wells for our carbon sequestration project near the One Earth ethanol facility. We also have landowner subsurface easements for the first injection well with capacity sufficient to allow for carbon sequestration for our One Earth plant for an estimated 15 years. The Illinois Safety and Aid for the Environment in Carbon Capture and Sequestration Act (SB 1289), enacted in 2024, imposes additional safety, environmental and other requirements on obtaining permits and approvals for carbon capture and sequestration facilities in Illinois, including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pipelines. Further, the</w:t>
      </w:r>
    </w:p>
    <w:p>
      <w:pPr>
        <w:spacing w:after="0" w:line="7" w:lineRule="exact"/>
        <w:rPr>
          <w:sz w:val="20"/>
          <w:szCs w:val="20"/>
          <w:color w:val="auto"/>
        </w:rPr>
      </w:pPr>
    </w:p>
    <w:p>
      <w:pPr>
        <w:ind w:right="200"/>
        <w:spacing w:after="0" w:line="193" w:lineRule="auto"/>
        <w:rPr>
          <w:sz w:val="20"/>
          <w:szCs w:val="20"/>
          <w:color w:val="auto"/>
        </w:rPr>
      </w:pPr>
      <w:r>
        <w:rPr>
          <w:rFonts w:ascii="Times New Roman" w:cs="Times New Roman" w:eastAsia="Times New Roman" w:hAnsi="Times New Roman"/>
          <w:sz w:val="22"/>
          <w:szCs w:val="22"/>
          <w:color w:val="auto"/>
        </w:rPr>
        <w:t>legislation imposed a moratorium on the issuance of new certificates of authority for the construction of CO</w:t>
      </w:r>
      <w:r>
        <w:rPr>
          <w:rFonts w:ascii="Times New Roman" w:cs="Times New Roman" w:eastAsia="Times New Roman" w:hAnsi="Times New Roman"/>
          <w:sz w:val="35"/>
          <w:szCs w:val="35"/>
          <w:color w:val="auto"/>
          <w:vertAlign w:val="subscript"/>
        </w:rPr>
        <w:t>2</w:t>
      </w:r>
      <w:r>
        <w:rPr>
          <w:rFonts w:ascii="Times New Roman" w:cs="Times New Roman" w:eastAsia="Times New Roman" w:hAnsi="Times New Roman"/>
          <w:sz w:val="22"/>
          <w:szCs w:val="22"/>
          <w:color w:val="auto"/>
        </w:rPr>
        <w:t xml:space="preserve"> pipelines until the earlier of the date new federal CO</w:t>
      </w:r>
      <w:r>
        <w:rPr>
          <w:rFonts w:ascii="Times New Roman" w:cs="Times New Roman" w:eastAsia="Times New Roman" w:hAnsi="Times New Roman"/>
          <w:sz w:val="35"/>
          <w:szCs w:val="35"/>
          <w:color w:val="auto"/>
          <w:vertAlign w:val="subscript"/>
        </w:rPr>
        <w:t>2</w:t>
      </w:r>
      <w:r>
        <w:rPr>
          <w:rFonts w:ascii="Times New Roman" w:cs="Times New Roman" w:eastAsia="Times New Roman" w:hAnsi="Times New Roman"/>
          <w:sz w:val="22"/>
          <w:szCs w:val="22"/>
          <w:color w:val="auto"/>
        </w:rPr>
        <w:t xml:space="preserve"> pipeline safety standards are finalized by the federal PHMSA or, subject to certain other conditions, July 1, 2026.</w:t>
      </w:r>
    </w:p>
    <w:p>
      <w:pPr>
        <w:spacing w:after="0" w:line="20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Illinois Senate Bill 1723, enacted in 2025, prohibits carbon sequestration activities over, under, or through the aquifer as defined by the EPA. The proposed injection wells for our carbon sequestration project are located outside of these areas.</w:t>
      </w:r>
    </w:p>
    <w:p>
      <w:pPr>
        <w:spacing w:after="0" w:line="185"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Although we have made meaningful progress and significant investments in the carbon sequestration project at One Earth, we continue to work with the various government agencies involved to obtain all required permits and approvals, with no assurance of the ultimate success or timing of the project.</w:t>
      </w:r>
    </w:p>
    <w:p>
      <w:pPr>
        <w:spacing w:after="0" w:line="200"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The United States exported an estimated 2.2 billion gallons of ethanol in 2025, up from approximately 1.9 and 1.4 billion gallons in 2024 and 2023, respectively. In 2025 and 2024, an estimated 11.6 and 12.1 million metric tons, respectively, of distillers grains were exported from the United States, which represented approximately 36% and 37% in 2025 and 2024, respectively, of U.S production. There has been much discussion around proposed and recently enacted tariffs by the United States and counter-</w:t>
      </w:r>
    </w:p>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tariffs and other trade restriction involving countries which have been large purchasers from our industry in the United States.</w:t>
      </w:r>
    </w:p>
    <w:p>
      <w:pPr>
        <w:spacing w:after="0" w:line="23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Based on the May 12, 2026 report from the USDA, corn production is forecasted to be approximately 16.0 billion bushels in 2026. The average corn yield is forecasted to be 183 bushels per acre, with planted acres projected to be 95.3 million and harvested acres projected to be 87.4 million. The January 12, 2026 USDA report had estimated a record 2025 corn production of 17.0 billion bushels with an estimated 186.5 bushels per acre, on an estimated 91.3 million acres harvested.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trends and uncertainties mentioned above could impact our future operating results in both positive and negative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ways.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Comparison of Three Months Ended April 30, 2026 and 2025</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summarizes our results from operations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0" w:type="dxa"/>
            <w:vAlign w:val="bottom"/>
            <w:gridSpan w:val="5"/>
          </w:tcPr>
          <w:p>
            <w:pPr>
              <w:ind w:left="10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8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3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22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156,499</w:t>
            </w:r>
          </w:p>
        </w:tc>
        <w:tc>
          <w:tcPr>
            <w:tcW w:w="320" w:type="dxa"/>
            <w:vAlign w:val="bottom"/>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158,340</w:t>
            </w:r>
          </w:p>
        </w:tc>
        <w:tc>
          <w:tcPr>
            <w:tcW w:w="0" w:type="dxa"/>
            <w:vAlign w:val="bottom"/>
          </w:tcPr>
          <w:p>
            <w:pPr>
              <w:spacing w:after="0"/>
              <w:rPr>
                <w:sz w:val="1"/>
                <w:szCs w:val="1"/>
                <w:color w:val="auto"/>
              </w:rPr>
            </w:pPr>
          </w:p>
        </w:tc>
      </w:tr>
      <w:tr>
        <w:trPr>
          <w:trHeight w:val="243"/>
        </w:trPr>
        <w:tc>
          <w:tcPr>
            <w:tcW w:w="5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Production tax credit income</w:t>
            </w:r>
          </w:p>
        </w:tc>
        <w:tc>
          <w:tcPr>
            <w:tcW w:w="220" w:type="dxa"/>
            <w:vAlign w:val="bottom"/>
          </w:tcPr>
          <w:p>
            <w:pPr>
              <w:spacing w:after="0"/>
              <w:rPr>
                <w:sz w:val="21"/>
                <w:szCs w:val="21"/>
                <w:color w:val="auto"/>
              </w:rPr>
            </w:pPr>
          </w:p>
        </w:tc>
        <w:tc>
          <w:tcPr>
            <w:tcW w:w="120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7,549</w:t>
            </w:r>
          </w:p>
        </w:tc>
        <w:tc>
          <w:tcPr>
            <w:tcW w:w="320" w:type="dxa"/>
            <w:vAlign w:val="bottom"/>
          </w:tcPr>
          <w:p>
            <w:pPr>
              <w:spacing w:after="0"/>
              <w:rPr>
                <w:sz w:val="21"/>
                <w:szCs w:val="21"/>
                <w:color w:val="auto"/>
              </w:rPr>
            </w:pPr>
          </w:p>
        </w:tc>
        <w:tc>
          <w:tcPr>
            <w:tcW w:w="8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58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220" w:type="dxa"/>
            <w:vAlign w:val="bottom"/>
            <w:shd w:val="clear" w:color="auto" w:fill="E5FFFF"/>
          </w:tcPr>
          <w:p>
            <w:pPr>
              <w:spacing w:after="0"/>
              <w:rPr>
                <w:sz w:val="22"/>
                <w:szCs w:val="22"/>
                <w:color w:val="auto"/>
              </w:rPr>
            </w:pPr>
          </w:p>
        </w:tc>
        <w:tc>
          <w:tcPr>
            <w:tcW w:w="12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22"/>
                <w:szCs w:val="22"/>
                <w:color w:val="auto"/>
              </w:rPr>
              <w:t>134,977</w:t>
            </w:r>
          </w:p>
        </w:tc>
        <w:tc>
          <w:tcPr>
            <w:tcW w:w="320" w:type="dxa"/>
            <w:vAlign w:val="bottom"/>
            <w:shd w:val="clear" w:color="auto" w:fill="E5FFFF"/>
          </w:tcPr>
          <w:p>
            <w:pPr>
              <w:spacing w:after="0"/>
              <w:rPr>
                <w:sz w:val="22"/>
                <w:szCs w:val="22"/>
                <w:color w:val="auto"/>
              </w:rPr>
            </w:pPr>
          </w:p>
        </w:tc>
        <w:tc>
          <w:tcPr>
            <w:tcW w:w="88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22"/>
                <w:szCs w:val="22"/>
                <w:color w:val="auto"/>
              </w:rPr>
              <w:t>143,998</w:t>
            </w:r>
          </w:p>
        </w:tc>
        <w:tc>
          <w:tcPr>
            <w:tcW w:w="0" w:type="dxa"/>
            <w:vAlign w:val="bottom"/>
          </w:tcPr>
          <w:p>
            <w:pPr>
              <w:spacing w:after="0"/>
              <w:rPr>
                <w:sz w:val="1"/>
                <w:szCs w:val="1"/>
                <w:color w:val="auto"/>
              </w:rPr>
            </w:pPr>
          </w:p>
        </w:tc>
      </w:tr>
      <w:tr>
        <w:trPr>
          <w:trHeight w:val="250"/>
        </w:trPr>
        <w:tc>
          <w:tcPr>
            <w:tcW w:w="58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Gross profit</w:t>
            </w:r>
          </w:p>
        </w:tc>
        <w:tc>
          <w:tcPr>
            <w:tcW w:w="220" w:type="dxa"/>
            <w:vAlign w:val="bottom"/>
            <w:tcBorders>
              <w:top w:val="single" w:sz="8" w:color="auto"/>
              <w:bottom w:val="single" w:sz="8" w:color="auto"/>
            </w:tcBorders>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29,071</w:t>
            </w:r>
          </w:p>
        </w:tc>
        <w:tc>
          <w:tcPr>
            <w:tcW w:w="3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14,342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220" w:type="dxa"/>
            <w:vAlign w:val="bottom"/>
            <w:tcBorders>
              <w:bottom w:val="single" w:sz="8" w:color="auto"/>
            </w:tcBorders>
            <w:shd w:val="clear" w:color="auto" w:fill="E5FFFF"/>
          </w:tcPr>
          <w:p>
            <w:pPr>
              <w:jc w:val="right"/>
              <w:ind w:right="12"/>
              <w:spacing w:after="0"/>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26,115</w:t>
            </w:r>
          </w:p>
        </w:tc>
        <w:tc>
          <w:tcPr>
            <w:tcW w:w="320" w:type="dxa"/>
            <w:vAlign w:val="bottom"/>
            <w:tcBorders>
              <w:bottom w:val="single" w:sz="8" w:color="E5FFFF"/>
            </w:tcBorders>
            <w:shd w:val="clear" w:color="auto" w:fill="E5FFFF"/>
          </w:tcPr>
          <w:p>
            <w:pPr>
              <w:spacing w:after="0"/>
              <w:rPr>
                <w:sz w:val="23"/>
                <w:szCs w:val="23"/>
                <w:color w:val="auto"/>
              </w:rPr>
            </w:pPr>
          </w:p>
        </w:tc>
        <w:tc>
          <w:tcPr>
            <w:tcW w:w="320" w:type="dxa"/>
            <w:vAlign w:val="bottom"/>
            <w:tcBorders>
              <w:bottom w:val="single" w:sz="8" w:color="auto"/>
            </w:tcBorders>
            <w:shd w:val="clear" w:color="auto" w:fill="E5FFFF"/>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13,626</w:t>
            </w:r>
          </w:p>
        </w:tc>
        <w:tc>
          <w:tcPr>
            <w:tcW w:w="80" w:type="dxa"/>
            <w:vAlign w:val="bottom"/>
            <w:tcBorders>
              <w:bottom w:val="single" w:sz="8" w:color="E5FFFF"/>
            </w:tcBorders>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820" w:type="dxa"/>
            <w:vAlign w:val="bottom"/>
            <w:vMerge w:val="continue"/>
          </w:tcPr>
          <w:p>
            <w:pPr>
              <w:spacing w:after="0"/>
              <w:rPr>
                <w:sz w:val="24"/>
                <w:szCs w:val="24"/>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(4,437)</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(2,954)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Net income attributable to REX common shareholders</w:t>
            </w:r>
          </w:p>
        </w:tc>
        <w:tc>
          <w:tcPr>
            <w:tcW w:w="220" w:type="dxa"/>
            <w:vAlign w:val="bottom"/>
            <w:shd w:val="clear" w:color="auto" w:fill="E5FFFF"/>
          </w:tcPr>
          <w:p>
            <w:pPr>
              <w:jc w:val="right"/>
              <w:ind w:right="12"/>
              <w:spacing w:after="0"/>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22"/>
                <w:szCs w:val="22"/>
                <w:color w:val="auto"/>
              </w:rPr>
              <w:t>18,452</w:t>
            </w:r>
          </w:p>
        </w:tc>
        <w:tc>
          <w:tcPr>
            <w:tcW w:w="320" w:type="dxa"/>
            <w:vAlign w:val="bottom"/>
            <w:shd w:val="clear" w:color="auto" w:fill="E5FFFF"/>
          </w:tcPr>
          <w:p>
            <w:pPr>
              <w:jc w:val="right"/>
              <w:ind w:right="92"/>
              <w:spacing w:after="0"/>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22"/>
                <w:szCs w:val="22"/>
                <w:color w:val="auto"/>
              </w:rPr>
              <w:t>8,678</w:t>
            </w:r>
          </w:p>
        </w:tc>
        <w:tc>
          <w:tcPr>
            <w:tcW w:w="0" w:type="dxa"/>
            <w:vAlign w:val="bottom"/>
          </w:tcPr>
          <w:p>
            <w:pPr>
              <w:spacing w:after="0"/>
              <w:rPr>
                <w:sz w:val="1"/>
                <w:szCs w:val="1"/>
                <w:color w:val="auto"/>
              </w:rPr>
            </w:pPr>
          </w:p>
        </w:tc>
      </w:tr>
      <w:tr>
        <w:trPr>
          <w:trHeight w:val="20"/>
        </w:trPr>
        <w:tc>
          <w:tcPr>
            <w:tcW w:w="58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summarizes net sales and revenue by product group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gridSpan w:val="5"/>
          </w:tcPr>
          <w:p>
            <w:pPr>
              <w:ind w:left="10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3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1260" w:type="dxa"/>
            <w:vAlign w:val="bottom"/>
            <w:gridSpan w:val="2"/>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119,881</w:t>
            </w:r>
          </w:p>
        </w:tc>
        <w:tc>
          <w:tcPr>
            <w:tcW w:w="320" w:type="dxa"/>
            <w:vAlign w:val="bottom"/>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124,397</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24,163</w:t>
            </w:r>
          </w:p>
        </w:tc>
        <w:tc>
          <w:tcPr>
            <w:tcW w:w="320" w:type="dxa"/>
            <w:vAlign w:val="bottom"/>
          </w:tcPr>
          <w:p>
            <w:pPr>
              <w:spacing w:after="0"/>
              <w:rPr>
                <w:sz w:val="21"/>
                <w:szCs w:val="21"/>
                <w:color w:val="auto"/>
              </w:rPr>
            </w:pPr>
          </w:p>
        </w:tc>
        <w:tc>
          <w:tcPr>
            <w:tcW w:w="8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22,286</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10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12,956</w:t>
            </w:r>
          </w:p>
        </w:tc>
        <w:tc>
          <w:tcPr>
            <w:tcW w:w="32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9,879</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1,033</w:t>
            </w:r>
          </w:p>
        </w:tc>
        <w:tc>
          <w:tcPr>
            <w:tcW w:w="320" w:type="dxa"/>
            <w:vAlign w:val="bottom"/>
          </w:tcPr>
          <w:p>
            <w:pPr>
              <w:spacing w:after="0"/>
              <w:rPr>
                <w:sz w:val="21"/>
                <w:szCs w:val="21"/>
                <w:color w:val="auto"/>
              </w:rPr>
            </w:pPr>
          </w:p>
        </w:tc>
        <w:tc>
          <w:tcPr>
            <w:tcW w:w="8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1,623</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(losses) gains</w:t>
            </w:r>
          </w:p>
        </w:tc>
        <w:tc>
          <w:tcPr>
            <w:tcW w:w="10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(1,576)</w:t>
            </w:r>
          </w:p>
        </w:tc>
        <w:tc>
          <w:tcPr>
            <w:tcW w:w="32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42</w:t>
            </w:r>
          </w:p>
        </w:tc>
        <w:tc>
          <w:tcPr>
            <w:tcW w:w="32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138</w:t>
            </w: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04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156,499</w:t>
            </w:r>
          </w:p>
        </w:tc>
        <w:tc>
          <w:tcPr>
            <w:tcW w:w="32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158,340</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7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8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8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8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The following table summarizes selected operating data:</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5"/>
          </w:tcPr>
          <w:p>
            <w:pPr>
              <w:ind w:left="100"/>
              <w:spacing w:after="0"/>
              <w:rPr>
                <w:sz w:val="20"/>
                <w:szCs w:val="20"/>
                <w:color w:val="auto"/>
              </w:rPr>
            </w:pPr>
            <w:r>
              <w:rPr>
                <w:rFonts w:ascii="Times New Roman" w:cs="Times New Roman" w:eastAsia="Times New Roman" w:hAnsi="Times New Roman"/>
                <w:sz w:val="22"/>
                <w:szCs w:val="22"/>
                <w:b w:val="1"/>
                <w:bCs w:val="1"/>
                <w:color w:val="auto"/>
              </w:rPr>
              <w:t>Three Months Ended</w:t>
            </w:r>
          </w:p>
        </w:tc>
      </w:tr>
      <w:tr>
        <w:trPr>
          <w:trHeight w:val="256"/>
        </w:trPr>
        <w:tc>
          <w:tcPr>
            <w:tcW w:w="5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4"/>
        </w:trPr>
        <w:tc>
          <w:tcPr>
            <w:tcW w:w="58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3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80" w:type="dxa"/>
            <w:vAlign w:val="bottom"/>
          </w:tcPr>
          <w:p>
            <w:pPr>
              <w:spacing w:after="0"/>
              <w:rPr>
                <w:sz w:val="23"/>
                <w:szCs w:val="23"/>
                <w:color w:val="auto"/>
              </w:rPr>
            </w:pPr>
          </w:p>
        </w:tc>
      </w:tr>
      <w:tr>
        <w:trPr>
          <w:trHeight w:val="237"/>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gallon of ethanol (net of hedging)</w:t>
            </w:r>
          </w:p>
        </w:tc>
        <w:tc>
          <w:tcPr>
            <w:tcW w:w="22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1.66</w:t>
            </w:r>
          </w:p>
        </w:tc>
        <w:tc>
          <w:tcPr>
            <w:tcW w:w="320" w:type="dxa"/>
            <w:vAlign w:val="bottom"/>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1.76</w:t>
            </w:r>
          </w:p>
        </w:tc>
      </w:tr>
      <w:tr>
        <w:trPr>
          <w:trHeight w:val="243"/>
        </w:trPr>
        <w:tc>
          <w:tcPr>
            <w:tcW w:w="5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Gallons of ethanol sold (in millions)</w:t>
            </w:r>
          </w:p>
        </w:tc>
        <w:tc>
          <w:tcPr>
            <w:tcW w:w="220" w:type="dxa"/>
            <w:vAlign w:val="bottom"/>
          </w:tcPr>
          <w:p>
            <w:pPr>
              <w:spacing w:after="0"/>
              <w:rPr>
                <w:sz w:val="21"/>
                <w:szCs w:val="21"/>
                <w:color w:val="auto"/>
              </w:rPr>
            </w:pPr>
          </w:p>
        </w:tc>
        <w:tc>
          <w:tcPr>
            <w:tcW w:w="120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71.1</w:t>
            </w:r>
          </w:p>
        </w:tc>
        <w:tc>
          <w:tcPr>
            <w:tcW w:w="320" w:type="dxa"/>
            <w:vAlign w:val="bottom"/>
          </w:tcPr>
          <w:p>
            <w:pPr>
              <w:spacing w:after="0"/>
              <w:rPr>
                <w:sz w:val="21"/>
                <w:szCs w:val="21"/>
                <w:color w:val="auto"/>
              </w:rPr>
            </w:pPr>
          </w:p>
        </w:tc>
        <w:tc>
          <w:tcPr>
            <w:tcW w:w="8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70.9</w:t>
            </w:r>
          </w:p>
        </w:tc>
      </w:tr>
      <w:tr>
        <w:trPr>
          <w:trHeight w:val="243"/>
        </w:trPr>
        <w:tc>
          <w:tcPr>
            <w:tcW w:w="5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dried distillers grains</w:t>
            </w:r>
          </w:p>
        </w:tc>
        <w:tc>
          <w:tcPr>
            <w:tcW w:w="22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155.86</w:t>
            </w:r>
          </w:p>
        </w:tc>
        <w:tc>
          <w:tcPr>
            <w:tcW w:w="320" w:type="dxa"/>
            <w:vAlign w:val="bottom"/>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145.65</w:t>
            </w:r>
          </w:p>
        </w:tc>
      </w:tr>
      <w:tr>
        <w:trPr>
          <w:trHeight w:val="243"/>
        </w:trPr>
        <w:tc>
          <w:tcPr>
            <w:tcW w:w="5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Tons of dried distillers grains sold</w:t>
            </w:r>
          </w:p>
        </w:tc>
        <w:tc>
          <w:tcPr>
            <w:tcW w:w="220" w:type="dxa"/>
            <w:vAlign w:val="bottom"/>
          </w:tcPr>
          <w:p>
            <w:pPr>
              <w:spacing w:after="0"/>
              <w:rPr>
                <w:sz w:val="21"/>
                <w:szCs w:val="21"/>
                <w:color w:val="auto"/>
              </w:rPr>
            </w:pPr>
          </w:p>
        </w:tc>
        <w:tc>
          <w:tcPr>
            <w:tcW w:w="120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155,032</w:t>
            </w:r>
          </w:p>
        </w:tc>
        <w:tc>
          <w:tcPr>
            <w:tcW w:w="320" w:type="dxa"/>
            <w:vAlign w:val="bottom"/>
          </w:tcPr>
          <w:p>
            <w:pPr>
              <w:spacing w:after="0"/>
              <w:rPr>
                <w:sz w:val="21"/>
                <w:szCs w:val="21"/>
                <w:color w:val="auto"/>
              </w:rPr>
            </w:pPr>
          </w:p>
        </w:tc>
        <w:tc>
          <w:tcPr>
            <w:tcW w:w="8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153,010</w:t>
            </w:r>
          </w:p>
        </w:tc>
      </w:tr>
      <w:tr>
        <w:trPr>
          <w:trHeight w:val="243"/>
        </w:trPr>
        <w:tc>
          <w:tcPr>
            <w:tcW w:w="5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pound of distillers corn oil</w:t>
            </w:r>
          </w:p>
        </w:tc>
        <w:tc>
          <w:tcPr>
            <w:tcW w:w="22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0.54</w:t>
            </w:r>
          </w:p>
        </w:tc>
        <w:tc>
          <w:tcPr>
            <w:tcW w:w="320" w:type="dxa"/>
            <w:vAlign w:val="bottom"/>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0.46</w:t>
            </w:r>
          </w:p>
        </w:tc>
      </w:tr>
      <w:tr>
        <w:trPr>
          <w:trHeight w:val="243"/>
        </w:trPr>
        <w:tc>
          <w:tcPr>
            <w:tcW w:w="5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Pounds of distillers corn oil sold (in millions)</w:t>
            </w:r>
          </w:p>
        </w:tc>
        <w:tc>
          <w:tcPr>
            <w:tcW w:w="220" w:type="dxa"/>
            <w:vAlign w:val="bottom"/>
          </w:tcPr>
          <w:p>
            <w:pPr>
              <w:spacing w:after="0"/>
              <w:rPr>
                <w:sz w:val="21"/>
                <w:szCs w:val="21"/>
                <w:color w:val="auto"/>
              </w:rPr>
            </w:pPr>
          </w:p>
        </w:tc>
        <w:tc>
          <w:tcPr>
            <w:tcW w:w="120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23.9</w:t>
            </w:r>
          </w:p>
        </w:tc>
        <w:tc>
          <w:tcPr>
            <w:tcW w:w="320" w:type="dxa"/>
            <w:vAlign w:val="bottom"/>
          </w:tcPr>
          <w:p>
            <w:pPr>
              <w:spacing w:after="0"/>
              <w:rPr>
                <w:sz w:val="21"/>
                <w:szCs w:val="21"/>
                <w:color w:val="auto"/>
              </w:rPr>
            </w:pPr>
          </w:p>
        </w:tc>
        <w:tc>
          <w:tcPr>
            <w:tcW w:w="88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21.4</w:t>
            </w:r>
          </w:p>
        </w:tc>
      </w:tr>
      <w:tr>
        <w:trPr>
          <w:trHeight w:val="243"/>
        </w:trPr>
        <w:tc>
          <w:tcPr>
            <w:tcW w:w="58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modified distillers grains</w:t>
            </w:r>
          </w:p>
        </w:tc>
        <w:tc>
          <w:tcPr>
            <w:tcW w:w="22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76.94</w:t>
            </w:r>
          </w:p>
        </w:tc>
        <w:tc>
          <w:tcPr>
            <w:tcW w:w="320" w:type="dxa"/>
            <w:vAlign w:val="bottom"/>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73.44</w:t>
            </w:r>
          </w:p>
        </w:tc>
      </w:tr>
      <w:tr>
        <w:trPr>
          <w:trHeight w:val="282"/>
        </w:trPr>
        <w:tc>
          <w:tcPr>
            <w:tcW w:w="5820" w:type="dxa"/>
            <w:vAlign w:val="bottom"/>
          </w:tcPr>
          <w:p>
            <w:pPr>
              <w:spacing w:after="0"/>
              <w:rPr>
                <w:sz w:val="20"/>
                <w:szCs w:val="20"/>
                <w:color w:val="auto"/>
              </w:rPr>
            </w:pPr>
            <w:r>
              <w:rPr>
                <w:rFonts w:ascii="Times New Roman" w:cs="Times New Roman" w:eastAsia="Times New Roman" w:hAnsi="Times New Roman"/>
                <w:sz w:val="22"/>
                <w:szCs w:val="22"/>
                <w:color w:val="auto"/>
              </w:rPr>
              <w:t>Tons of modified distillers grains sold</w:t>
            </w:r>
          </w:p>
        </w:tc>
        <w:tc>
          <w:tcPr>
            <w:tcW w:w="22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13,427</w:t>
            </w:r>
          </w:p>
        </w:tc>
        <w:tc>
          <w:tcPr>
            <w:tcW w:w="3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22,094</w:t>
            </w:r>
          </w:p>
        </w:tc>
      </w:tr>
    </w:tbl>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Net sales and revenue in the quarter ended April 30, 2026 decreased approximately 1% compared to the prior fiscal year first quarter.</w:t>
      </w:r>
    </w:p>
    <w:p>
      <w:pPr>
        <w:spacing w:after="0" w:line="185"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Ethanol revenue, net of hedging, decreased 5% in the first quarter of fiscal year 2026 compared to the first quarter of fiscal year 2025 as the selling price per gallon decreased 6%, while gallons sold increased slightly. Ethanol pricing is affected by many factors, including overall market supply and demand, as well as corn and gasoline pricing.</w:t>
      </w:r>
    </w:p>
    <w:p>
      <w:pPr>
        <w:spacing w:after="0" w:line="200"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Dried distillers grains revenue increased 8% in the first quarter of fiscal year 2026 compared to the first quarter of fiscal year 2025 as there was a 7% increase in the average price per ton sold and a 1% increase in tons sold. The increase in the dried distillers grains selling price primarily reflects increased soymeal prices, which are often correlated with the price of distillers grains, as well as increased export demand. The increase in tons sold was impacted by variability in production levels of other ethanol by-products.</w:t>
      </w:r>
    </w:p>
    <w:p>
      <w:pPr>
        <w:spacing w:after="0" w:line="20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Distillers corn oil revenue increased approximately 31% in the first quarter of fiscal year 2026 compared to the first quarter of fiscal year 2025 as the selling price per pound increased 17% and the amount of pounds sold increased 12%. The corn oil yield per bushel ground improved at our consolidated ethanol plants in the three month period ended April 30, 2026, relative to the comparable period in fiscal 2025. The increase in the distillers corn oil selling price resulted primarily from fluctuations in demand in the renewable biodiesel market.</w:t>
      </w:r>
    </w:p>
    <w:p>
      <w:pPr>
        <w:spacing w:after="0" w:line="20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Modified distillers grains revenue decreased 36% in the first quarter of fiscal year 2026 compared to the first quarter of fiscal year 2025 as the amount of tons sold decreased by 39%, offset partially with a 5% increase in the average selling price per ton sold. The increase in the modified distillers grains selling price primarily reflects increased soymeal prices, which are often correlated with the price of distillers</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111" w:right="439" w:bottom="1440" w:gutter="0" w:footer="0" w:header="0"/>
        </w:sectPr>
      </w:pPr>
    </w:p>
    <w:bookmarkStart w:id="34" w:name="page35"/>
    <w:bookmarkEnd w:id="34"/>
    <w:p>
      <w:pPr>
        <w:ind w:right="20"/>
        <w:spacing w:after="0" w:line="259" w:lineRule="auto"/>
        <w:rPr>
          <w:sz w:val="20"/>
          <w:szCs w:val="20"/>
          <w:color w:val="auto"/>
        </w:rPr>
      </w:pPr>
      <w:r>
        <w:rPr>
          <w:rFonts w:ascii="Times New Roman" w:cs="Times New Roman" w:eastAsia="Times New Roman" w:hAnsi="Times New Roman"/>
          <w:sz w:val="22"/>
          <w:szCs w:val="22"/>
          <w:color w:val="auto"/>
        </w:rPr>
        <w:t>grains. Our consolidated plants’ decisions to sell modified or dried distillers grains fluctuate from time to time based upon market conditions.</w:t>
      </w:r>
    </w:p>
    <w:p>
      <w:pPr>
        <w:spacing w:after="0" w:line="184"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The Company has determined that it qualifies for clean fuel production tax credits allowable under the IRA and OBBBA. The benefit recognized is determined based on the Company’s CI score to date. The Company recorded $7.5 million in 45Z production tax credit income during the three months ended April 30, 2026 and did not record any in the comparable prior fiscal year period as proposed regulations had not yet been issued.</w:t>
      </w:r>
    </w:p>
    <w:p>
      <w:pPr>
        <w:spacing w:after="0" w:line="207" w:lineRule="exact"/>
        <w:rPr>
          <w:sz w:val="20"/>
          <w:szCs w:val="20"/>
          <w:color w:val="auto"/>
        </w:rPr>
      </w:pPr>
    </w:p>
    <w:p>
      <w:pPr>
        <w:ind w:right="320" w:firstLine="648"/>
        <w:spacing w:after="0" w:line="238" w:lineRule="auto"/>
        <w:rPr>
          <w:sz w:val="20"/>
          <w:szCs w:val="20"/>
          <w:color w:val="auto"/>
        </w:rPr>
      </w:pPr>
      <w:r>
        <w:rPr>
          <w:rFonts w:ascii="Times New Roman" w:cs="Times New Roman" w:eastAsia="Times New Roman" w:hAnsi="Times New Roman"/>
          <w:sz w:val="22"/>
          <w:szCs w:val="22"/>
          <w:color w:val="auto"/>
        </w:rPr>
        <w:t>Cost of sales decreased 6% in the quarter ended April 30, 2026, compared to the prior fiscal year first quarter. Corn accounted for approximately 75% ($101.7 million) of our cost of sales during the first quarter of fiscal year 2026 compared to approximately 74% ($106.3 million) during the first quarter of fiscal year 2025. Natural gas accounted for approximately 6% ($8.7 million) of our cost of sales during the first quarter of fiscal year 2026 and 6% ($8.1 million) in the first quarter of fiscal year 2025.</w:t>
      </w:r>
    </w:p>
    <w:p>
      <w:pPr>
        <w:spacing w:after="0" w:line="204"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As a result of the foregoing, gross profit for the first quarter of fiscal year 2026 increased approximately $14.7 million compared to the prior fiscal year first quarter.</w:t>
      </w:r>
    </w:p>
    <w:p>
      <w:pPr>
        <w:spacing w:after="0" w:line="185" w:lineRule="exact"/>
        <w:rPr>
          <w:sz w:val="20"/>
          <w:szCs w:val="20"/>
          <w:color w:val="auto"/>
        </w:rPr>
      </w:pPr>
    </w:p>
    <w:p>
      <w:pPr>
        <w:ind w:right="140" w:firstLine="648"/>
        <w:spacing w:after="0" w:line="234" w:lineRule="auto"/>
        <w:rPr>
          <w:sz w:val="20"/>
          <w:szCs w:val="20"/>
          <w:color w:val="auto"/>
        </w:rPr>
      </w:pPr>
      <w:r>
        <w:rPr>
          <w:rFonts w:ascii="Times New Roman" w:cs="Times New Roman" w:eastAsia="Times New Roman" w:hAnsi="Times New Roman"/>
          <w:sz w:val="22"/>
          <w:szCs w:val="22"/>
          <w:color w:val="auto"/>
        </w:rPr>
        <w:t>We attempt to match quantities of ethanol, distillers grains and distillers corn oil sales contracts with an appropriate quantity of corn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 We utilize derivative financial instruments, primarily exchange traded commodity future contracts and swap contracts, in conjunction with certain of our corn procurement activities and commodity marketing activities.</w:t>
      </w:r>
    </w:p>
    <w:p>
      <w:pPr>
        <w:spacing w:after="0" w:line="210"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SG&amp;A expenses for the first quarter of fiscal year 2026 were approximately $9.7 million (6.2% of net sales and revenue), an increase of approximately $3.8 million or 64% from approximately $5.9 million (3.8% of net sales and revenue) for the first quarter of fiscal year 2025. The dollar increase compared to the prior year is primarily related to a $3.2 million increase in performance bonuses due to the increase in net income and recording unpaid stock bonuses at fair value.</w:t>
      </w:r>
    </w:p>
    <w:p>
      <w:pPr>
        <w:spacing w:after="0" w:line="20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During the first quarter of fiscal year 2026, we recognized income from our equity investment in Big River of approximately $3.6 million compared to income of approximately $1.0 million for the first quarter of fiscal year 2025. In the first quarter of fiscal year 2026, approximately $1.8 million of our recognized income was from Section 45Z tax credits. Big River did not recognize any benefit from Section 45Z tax credits in the first quarter of fiscal year 2025 as proposed regulations had not yet been issued. Our investment in Big River, which has interests in four ethanol production plants, represents an effective ownership of approximately 38.7 million gallons of ethanol shipped in the trailing twelve months ended April 30, 2026. Due to the inherent volatility of commodity prices within the ethanol industry, we cannot predict the likelihood of future operating results from Big River being similar to historical results.</w:t>
      </w:r>
    </w:p>
    <w:p>
      <w:pPr>
        <w:spacing w:after="0" w:line="1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5" w:name="page36"/>
    <w:bookmarkEnd w:id="35"/>
    <w:p>
      <w:pPr>
        <w:ind w:right="140" w:firstLine="648"/>
        <w:spacing w:after="0" w:line="249" w:lineRule="auto"/>
        <w:rPr>
          <w:sz w:val="20"/>
          <w:szCs w:val="20"/>
          <w:color w:val="auto"/>
        </w:rPr>
      </w:pPr>
      <w:r>
        <w:rPr>
          <w:rFonts w:ascii="Times New Roman" w:cs="Times New Roman" w:eastAsia="Times New Roman" w:hAnsi="Times New Roman"/>
          <w:sz w:val="21"/>
          <w:szCs w:val="21"/>
          <w:color w:val="auto"/>
        </w:rPr>
        <w:t>Interest and other income was approximately $3.2 million for the first quarter of fiscal year 2026 versus approximately $4.2 million for the first quarter of fiscal year 2025. One of our consolidated ethanol plants recognized $0.6 million less in patronage income from an investment in a cooperative in the first quarter of fiscal year 2026 ($0.1 million) compared to the first quarter of fiscal year 2025 ($0.7 million). We do not expect patronage income from this investment in a cooperative to be significant in future periods. Additionally, there was a slight decrease in interest income of $0.3 million based upon lower balances and yields on our excess cash and short-term investments in fiscal year 2026, compared to fiscal year 2025.</w:t>
      </w:r>
    </w:p>
    <w:p>
      <w:pPr>
        <w:spacing w:after="0" w:line="17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As a result of the foregoing, income before income taxes was approximately $26.1 million and $13.6 million for the first quarter of fiscal year 2026 and 2025, respectively.</w:t>
      </w:r>
    </w:p>
    <w:p>
      <w:pPr>
        <w:spacing w:after="0" w:line="158" w:lineRule="exact"/>
        <w:rPr>
          <w:sz w:val="20"/>
          <w:szCs w:val="20"/>
          <w:color w:val="auto"/>
        </w:rPr>
      </w:pPr>
    </w:p>
    <w:p>
      <w:pPr>
        <w:jc w:val="both"/>
        <w:ind w:right="220" w:firstLine="648"/>
        <w:spacing w:after="0" w:line="244"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Our income tax provision was approximately $4.4 million and $3.0 million for the three months ended April 30, 2026 and 2025, respectively.</w:t>
      </w:r>
    </w:p>
    <w:p>
      <w:pPr>
        <w:spacing w:after="0" w:line="173" w:lineRule="exact"/>
        <w:rPr>
          <w:sz w:val="20"/>
          <w:szCs w:val="20"/>
          <w:color w:val="auto"/>
        </w:rPr>
      </w:pPr>
    </w:p>
    <w:p>
      <w:pPr>
        <w:ind w:right="880" w:firstLine="648"/>
        <w:spacing w:after="0" w:line="258" w:lineRule="auto"/>
        <w:rPr>
          <w:sz w:val="20"/>
          <w:szCs w:val="20"/>
          <w:color w:val="auto"/>
        </w:rPr>
      </w:pPr>
      <w:r>
        <w:rPr>
          <w:rFonts w:ascii="Times New Roman" w:cs="Times New Roman" w:eastAsia="Times New Roman" w:hAnsi="Times New Roman"/>
          <w:sz w:val="22"/>
          <w:szCs w:val="22"/>
          <w:color w:val="auto"/>
        </w:rPr>
        <w:t>As a result of the foregoing, net income was approximately $21.7 million for the first quarter of fiscal year 2026 compared to approximately $10.7 million for the first quarter of fiscal year 2025.</w:t>
      </w:r>
    </w:p>
    <w:p>
      <w:pPr>
        <w:spacing w:after="0" w:line="158"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Net income attributable to noncontrolling interests was approximately $3.2 million for the first quarter of fiscal year 2026 and $2.0 million for the first quarter of 2025. These amounts represent the other owners’ share of the income of NuGen and One Earth.</w:t>
      </w:r>
    </w:p>
    <w:p>
      <w:pPr>
        <w:spacing w:after="0" w:line="173"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net income attributable to REX common shareholders for the first quarter of fiscal year 2026 was approximately $18.5 million, compared to net income attributable to REX common shareholders of approximately $8.7 million for the first quarter of fiscal year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Summary of Cash Flows and Working Capital (dollar amounts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40" w:type="dxa"/>
            <w:vAlign w:val="bottom"/>
            <w:gridSpan w:val="3"/>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Three Months Ended</w:t>
            </w:r>
          </w:p>
        </w:tc>
      </w:tr>
      <w:tr>
        <w:trPr>
          <w:trHeight w:val="243"/>
        </w:trPr>
        <w:tc>
          <w:tcPr>
            <w:tcW w:w="4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April 30,</w:t>
            </w:r>
          </w:p>
        </w:tc>
        <w:tc>
          <w:tcPr>
            <w:tcW w:w="920" w:type="dxa"/>
            <w:vAlign w:val="bottom"/>
          </w:tcPr>
          <w:p>
            <w:pPr>
              <w:spacing w:after="0"/>
              <w:rPr>
                <w:sz w:val="21"/>
                <w:szCs w:val="21"/>
                <w:color w:val="auto"/>
              </w:rPr>
            </w:pPr>
          </w:p>
        </w:tc>
      </w:tr>
      <w:tr>
        <w:trPr>
          <w:trHeight w:val="274"/>
        </w:trPr>
        <w:tc>
          <w:tcPr>
            <w:tcW w:w="4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460" w:type="dxa"/>
            <w:vAlign w:val="bottom"/>
          </w:tcPr>
          <w:p>
            <w:pPr>
              <w:spacing w:after="0"/>
              <w:rPr>
                <w:sz w:val="23"/>
                <w:szCs w:val="23"/>
                <w:color w:val="auto"/>
              </w:rPr>
            </w:pPr>
          </w:p>
        </w:tc>
        <w:tc>
          <w:tcPr>
            <w:tcW w:w="92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43"/>
        </w:trPr>
        <w:tc>
          <w:tcPr>
            <w:tcW w:w="47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cash used in operating activities</w:t>
            </w:r>
          </w:p>
        </w:tc>
        <w:tc>
          <w:tcPr>
            <w:tcW w:w="60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(2,089)</w:t>
            </w:r>
          </w:p>
        </w:tc>
        <w:tc>
          <w:tcPr>
            <w:tcW w:w="460" w:type="dxa"/>
            <w:vAlign w:val="bottom"/>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(3,476)</w:t>
            </w:r>
          </w:p>
        </w:tc>
      </w:tr>
      <w:tr>
        <w:trPr>
          <w:trHeight w:val="243"/>
        </w:trPr>
        <w:tc>
          <w:tcPr>
            <w:tcW w:w="4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cash (used in) provided by investing activities</w:t>
            </w:r>
          </w:p>
        </w:tc>
        <w:tc>
          <w:tcPr>
            <w:tcW w:w="60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(68,915)</w:t>
            </w:r>
          </w:p>
        </w:tc>
        <w:tc>
          <w:tcPr>
            <w:tcW w:w="46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1,809</w:t>
            </w:r>
          </w:p>
        </w:tc>
      </w:tr>
      <w:tr>
        <w:trPr>
          <w:trHeight w:val="243"/>
        </w:trPr>
        <w:tc>
          <w:tcPr>
            <w:tcW w:w="47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cash used in financing activities</w:t>
            </w:r>
          </w:p>
        </w:tc>
        <w:tc>
          <w:tcPr>
            <w:tcW w:w="60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460" w:type="dxa"/>
            <w:vAlign w:val="bottom"/>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(34,675)</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April 30,</w:t>
            </w:r>
          </w:p>
        </w:tc>
        <w:tc>
          <w:tcPr>
            <w:tcW w:w="4800" w:type="dxa"/>
            <w:vAlign w:val="bottom"/>
            <w:gridSpan w:val="2"/>
          </w:tcPr>
          <w:p>
            <w:pPr>
              <w:jc w:val="right"/>
              <w:ind w:right="3392"/>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47"/>
        </w:trPr>
        <w:tc>
          <w:tcPr>
            <w:tcW w:w="3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0" w:type="dxa"/>
            <w:vAlign w:val="bottom"/>
          </w:tcPr>
          <w:p>
            <w:pPr>
              <w:jc w:val="right"/>
              <w:ind w:right="412"/>
              <w:spacing w:after="0" w:line="247" w:lineRule="exact"/>
              <w:rPr>
                <w:sz w:val="20"/>
                <w:szCs w:val="20"/>
                <w:color w:val="auto"/>
              </w:rPr>
            </w:pPr>
            <w:r>
              <w:rPr>
                <w:rFonts w:ascii="Times New Roman" w:cs="Times New Roman" w:eastAsia="Times New Roman" w:hAnsi="Times New Roman"/>
                <w:sz w:val="22"/>
                <w:szCs w:val="22"/>
                <w:b w:val="1"/>
                <w:bCs w:val="1"/>
                <w:color w:val="auto"/>
              </w:rPr>
              <w:t>2026</w:t>
            </w:r>
          </w:p>
        </w:tc>
        <w:tc>
          <w:tcPr>
            <w:tcW w:w="400" w:type="dxa"/>
            <w:vAlign w:val="bottom"/>
          </w:tcPr>
          <w:p>
            <w:pPr>
              <w:spacing w:after="0"/>
              <w:rPr>
                <w:sz w:val="21"/>
                <w:szCs w:val="21"/>
                <w:color w:val="auto"/>
              </w:rPr>
            </w:pPr>
          </w:p>
        </w:tc>
        <w:tc>
          <w:tcPr>
            <w:tcW w:w="4400" w:type="dxa"/>
            <w:vAlign w:val="bottom"/>
          </w:tcPr>
          <w:p>
            <w:pPr>
              <w:jc w:val="right"/>
              <w:ind w:right="3712"/>
              <w:spacing w:after="0" w:line="247" w:lineRule="exact"/>
              <w:rPr>
                <w:sz w:val="20"/>
                <w:szCs w:val="20"/>
                <w:color w:val="auto"/>
              </w:rPr>
            </w:pPr>
            <w:r>
              <w:rPr>
                <w:rFonts w:ascii="Times New Roman" w:cs="Times New Roman" w:eastAsia="Times New Roman" w:hAnsi="Times New Roman"/>
                <w:sz w:val="22"/>
                <w:szCs w:val="22"/>
                <w:b w:val="1"/>
                <w:bCs w:val="1"/>
                <w:color w:val="auto"/>
              </w:rPr>
              <w:t>2026</w:t>
            </w:r>
          </w:p>
        </w:tc>
      </w:tr>
      <w:tr>
        <w:trPr>
          <w:trHeight w:val="243"/>
        </w:trPr>
        <w:tc>
          <w:tcPr>
            <w:tcW w:w="3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Working capital</w:t>
            </w:r>
          </w:p>
        </w:tc>
        <w:tc>
          <w:tcPr>
            <w:tcW w:w="2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376,218</w:t>
            </w:r>
          </w:p>
        </w:tc>
        <w:tc>
          <w:tcPr>
            <w:tcW w:w="40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00" w:type="dxa"/>
            <w:vAlign w:val="bottom"/>
          </w:tcPr>
          <w:p>
            <w:pPr>
              <w:jc w:val="right"/>
              <w:ind w:right="3332"/>
              <w:spacing w:after="0" w:line="243" w:lineRule="exact"/>
              <w:rPr>
                <w:sz w:val="20"/>
                <w:szCs w:val="20"/>
                <w:color w:val="auto"/>
              </w:rPr>
            </w:pPr>
            <w:r>
              <w:rPr>
                <w:rFonts w:ascii="Times New Roman" w:cs="Times New Roman" w:eastAsia="Times New Roman" w:hAnsi="Times New Roman"/>
                <w:sz w:val="22"/>
                <w:szCs w:val="22"/>
                <w:color w:val="auto"/>
              </w:rPr>
              <w:t>372,451</w:t>
            </w:r>
          </w:p>
        </w:tc>
      </w:t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Current ratio</w:t>
            </w:r>
          </w:p>
        </w:tc>
        <w:tc>
          <w:tcPr>
            <w:tcW w:w="2000" w:type="dxa"/>
            <w:vAlign w:val="bottom"/>
          </w:tcPr>
          <w:p>
            <w:pPr>
              <w:spacing w:after="0"/>
              <w:rPr>
                <w:sz w:val="24"/>
                <w:szCs w:val="24"/>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6.8x</w:t>
            </w:r>
          </w:p>
        </w:tc>
        <w:tc>
          <w:tcPr>
            <w:tcW w:w="400" w:type="dxa"/>
            <w:vAlign w:val="bottom"/>
          </w:tcPr>
          <w:p>
            <w:pPr>
              <w:spacing w:after="0"/>
              <w:rPr>
                <w:sz w:val="24"/>
                <w:szCs w:val="24"/>
                <w:color w:val="auto"/>
              </w:rPr>
            </w:pPr>
          </w:p>
        </w:tc>
        <w:tc>
          <w:tcPr>
            <w:tcW w:w="4400" w:type="dxa"/>
            <w:vAlign w:val="bottom"/>
          </w:tcPr>
          <w:p>
            <w:pPr>
              <w:jc w:val="right"/>
              <w:ind w:right="3332"/>
              <w:spacing w:after="0"/>
              <w:rPr>
                <w:sz w:val="20"/>
                <w:szCs w:val="20"/>
                <w:color w:val="auto"/>
              </w:rPr>
            </w:pPr>
            <w:r>
              <w:rPr>
                <w:rFonts w:ascii="Times New Roman" w:cs="Times New Roman" w:eastAsia="Times New Roman" w:hAnsi="Times New Roman"/>
                <w:sz w:val="22"/>
                <w:szCs w:val="22"/>
                <w:color w:val="auto"/>
              </w:rPr>
              <w:t>5.9x</w:t>
            </w:r>
          </w:p>
        </w:tc>
      </w:tr>
      <w:tr>
        <w:trPr>
          <w:trHeight w:val="418"/>
        </w:trPr>
        <w:tc>
          <w:tcPr>
            <w:tcW w:w="3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36</w:t>
            </w:r>
          </w:p>
        </w:tc>
        <w:tc>
          <w:tcPr>
            <w:tcW w:w="4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38"/>
        </w:trPr>
        <w:tc>
          <w:tcPr>
            <w:tcW w:w="3240" w:type="dxa"/>
            <w:vAlign w:val="bottom"/>
            <w:tcBorders>
              <w:bottom w:val="single" w:sz="8" w:color="C0C0C0"/>
            </w:tcBorders>
          </w:tcPr>
          <w:p>
            <w:pPr>
              <w:spacing w:after="0"/>
              <w:rPr>
                <w:sz w:val="20"/>
                <w:szCs w:val="20"/>
                <w:color w:val="auto"/>
              </w:rPr>
            </w:pPr>
          </w:p>
        </w:tc>
        <w:tc>
          <w:tcPr>
            <w:tcW w:w="2000" w:type="dxa"/>
            <w:vAlign w:val="bottom"/>
            <w:tcBorders>
              <w:bottom w:val="single" w:sz="8" w:color="C0C0C0"/>
            </w:tcBorders>
          </w:tcPr>
          <w:p>
            <w:pPr>
              <w:spacing w:after="0"/>
              <w:rPr>
                <w:sz w:val="20"/>
                <w:szCs w:val="20"/>
                <w:color w:val="auto"/>
              </w:rPr>
            </w:pPr>
          </w:p>
        </w:tc>
        <w:tc>
          <w:tcPr>
            <w:tcW w:w="120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44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i w:val="1"/>
          <w:iCs w:val="1"/>
          <w:color w:val="auto"/>
        </w:rPr>
        <w:t>Operating Activities</w:t>
      </w:r>
    </w:p>
    <w:p>
      <w:pPr>
        <w:spacing w:after="0" w:line="21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auto"/>
        </w:rPr>
        <w:t>Net cash used in operating activities was $2.1 million for the first quarter of fiscal year 2026, compared to $3.5 million used in the prior year period.</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Operating cash flows for the three month period ended April 30, 2026 reflected net income of $21.7 million and non-cash adjustments of $(1.4) million, and consisted of depreciation, noncash operating lease expense, amortization of finance right-of-use asset, income from equity method investments, interest income from short-term investments, the deferred income tax provision, stock-based compensation expense, and loss on disposal of property and equipment. These inflows were offset by various changes to working capital of $22.4 million during the first three months of fiscal year 2026, most significantly including:</w:t>
      </w:r>
    </w:p>
    <w:p>
      <w:pPr>
        <w:spacing w:after="0" w:line="208" w:lineRule="exact"/>
        <w:rPr>
          <w:sz w:val="20"/>
          <w:szCs w:val="20"/>
          <w:color w:val="auto"/>
        </w:rPr>
      </w:pPr>
    </w:p>
    <w:p>
      <w:pPr>
        <w:ind w:left="980" w:hanging="324"/>
        <w:spacing w:after="0" w:line="235"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cash of approximately $8.6 million from the decrease in accrued expenses and other liabilities as a result of an decrease in accrued payroll of approximately $5.4 million primarily related to the payment of the cash portion of the 2025 incentive bonuses, offset partially by the accrual of the 2026 incentive bonuses to be paid in 2027, a reduction in the lease liability of $1.7 million from payments made during the year, and a decrease in accrued utilities of approximately $1.2 million.</w:t>
      </w:r>
    </w:p>
    <w:p>
      <w:pPr>
        <w:ind w:left="980" w:hanging="324"/>
        <w:spacing w:after="0" w:line="230"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cash of $8.6 million due to a decrease in accounts payable, primarily related to the timing of inventory receipts and vendor payments.</w:t>
      </w:r>
    </w:p>
    <w:p>
      <w:pPr>
        <w:spacing w:after="0" w:line="1" w:lineRule="exact"/>
        <w:rPr>
          <w:rFonts w:ascii="Times New Roman" w:cs="Times New Roman" w:eastAsia="Times New Roman" w:hAnsi="Times New Roman"/>
          <w:sz w:val="22"/>
          <w:szCs w:val="22"/>
          <w:color w:val="auto"/>
        </w:rPr>
      </w:pPr>
    </w:p>
    <w:p>
      <w:pPr>
        <w:ind w:left="980" w:right="40" w:hanging="324"/>
        <w:spacing w:after="0" w:line="237"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cash of $6.9 million from the increase in accounts receivable as a result of the timing of products shipping and the receipt of customer payments at our consolidated ethanol plants.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fiscal year 2025, operating cash flow reflected net income of $10.7 million and non-cash adjustments of $4.4 million.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inflows were offset by various changes to working capital of approximately $18.5 million, most significantly caused by:</w:t>
      </w:r>
    </w:p>
    <w:p>
      <w:pPr>
        <w:spacing w:after="0" w:line="182" w:lineRule="exact"/>
        <w:rPr>
          <w:sz w:val="20"/>
          <w:szCs w:val="20"/>
          <w:color w:val="auto"/>
        </w:rPr>
      </w:pPr>
    </w:p>
    <w:p>
      <w:pPr>
        <w:ind w:left="980" w:right="300" w:hanging="324"/>
        <w:spacing w:after="0" w:line="241"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cash of approximately $8.9 million due to a decrease in accounts payable, primarily related to the timing of inventory receipts and vendor payments.</w:t>
      </w:r>
    </w:p>
    <w:p>
      <w:pPr>
        <w:spacing w:after="0" w:line="1" w:lineRule="exact"/>
        <w:rPr>
          <w:rFonts w:ascii="Times New Roman" w:cs="Times New Roman" w:eastAsia="Times New Roman" w:hAnsi="Times New Roman"/>
          <w:sz w:val="22"/>
          <w:szCs w:val="22"/>
          <w:color w:val="auto"/>
        </w:rPr>
      </w:pPr>
    </w:p>
    <w:p>
      <w:pPr>
        <w:ind w:left="980" w:right="640" w:hanging="324"/>
        <w:spacing w:after="0" w:line="230"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cash of approximately $6.5 million due to an increase in accounts receivable as a result of the timing of products shipping and the receipt of customer payments at our consolidated ethanol plants.</w:t>
      </w:r>
    </w:p>
    <w:p>
      <w:pPr>
        <w:spacing w:after="0" w:line="1" w:lineRule="exact"/>
        <w:rPr>
          <w:rFonts w:ascii="Times New Roman" w:cs="Times New Roman" w:eastAsia="Times New Roman" w:hAnsi="Times New Roman"/>
          <w:sz w:val="22"/>
          <w:szCs w:val="22"/>
          <w:color w:val="auto"/>
        </w:rPr>
      </w:pPr>
    </w:p>
    <w:p>
      <w:pPr>
        <w:ind w:left="980" w:right="280" w:hanging="324"/>
        <w:spacing w:after="0" w:line="234"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cash of approximately $3.8 million from the decrease in other liabilities primarily caused by a decrease in accrued payroll which used cash of approximately $5.2 million, due to the timing of annual bonus payments. Additionally, a decrease in the lease liability used cash of $1.5 million based on payments made during the quarter. These decreases are partially offset by an increase in other current liabilities of $3.0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Investing Activities</w:t>
      </w:r>
    </w:p>
    <w:p>
      <w:pPr>
        <w:spacing w:after="0" w:line="21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21"/>
          <w:szCs w:val="21"/>
          <w:color w:val="auto"/>
        </w:rPr>
        <w:t>Net cash (used in) provided by investing activities was $(68.9) million in the first quarter of fiscal year 2026 versus $1.8 million in the first quarter of fiscal year 2025. In fiscal 2026, capital expenditures totaled $11.6 million, primarily at One Earth, which includes plant expansion and CI reduction projects ($9.1 million) and carbon sequestration ($0.4 million). Treasury activity used net cash, as $91.6 million of purchases exceeded $34.0 million of maturities of short term investments.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0" w:right="399" w:bottom="1440" w:gutter="0" w:footer="0" w:header="0"/>
        </w:sectPr>
      </w:pPr>
    </w:p>
    <w:bookmarkStart w:id="37" w:name="page38"/>
    <w:bookmarkEnd w:id="37"/>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In the first quarter of fiscal year 2025, capital expenditures were $6.9 million, primarily for various capital projects at our consolidated ethanol plants, including $5.1 million for the expansion project at the One Earth facility and $0.7 million for the carbon sequestration project. Treasury activity provided net cash, as $41.4 million of purchases were more than offset by $50.0 million of maturities for short-term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Financing Activities</w:t>
      </w:r>
    </w:p>
    <w:p>
      <w:pPr>
        <w:spacing w:after="0" w:line="212"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Net cash used in financing activities was $62,000 in the first quarter of fiscal year 2026, related entirely to finance lease payments. In fiscal year 2025, financing outflows were $34.7 million, including $32.7 million for stock repurchases, and $2.0 million for payments to noncontrolling interests 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Capital Resources</w:t>
      </w:r>
    </w:p>
    <w:p>
      <w:pPr>
        <w:spacing w:after="0" w:line="23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At April 30, 2026, working capital was $376.2 million with a current ratio of 6.8x. The Company continues to investigate various uses for our excess cash and short-term investments, including stock repurchases and potential investments in ethanol, energy, carbon sequestration, and agriculture-related ventures.</w:t>
      </w:r>
    </w:p>
    <w:p>
      <w:pPr>
        <w:spacing w:after="0" w:line="17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We expect total capital expenditures related to the construction at the One Earth facilities to approximate $220 million to $230 million, inclusive of the carbon sequestration project and plant capacity expansion project, which we currently plan to pay from our available cash. This estimate is subject to further refinement as the projects progress, including impacts from inflation. As of April 30, 2026, we had spent $58.7 million since inception and were contractually committed to spend an additional $0.2 million toward the carbon sequestration project. As of April 30, 2026, we had spent $117.7 million since inception and were contractually committed to spend an additional $9.2 million toward the plant capacity expansion project. For all projects, we plan to spend $70 million to $80 million during the remainder of fiscal year 2026.</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 April 30, 2026, 2,357,186 shares remained authorized for repurchase under the Company’s buyback program.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Repurchases are generally made when management deems the shares to trade at a discount to intrinsic value.</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Quantitative and Qualitative Disclosures About Market Risk</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22"/>
          <w:szCs w:val="22"/>
          <w:color w:val="auto"/>
        </w:rPr>
        <w:t>We manage a portion of our risk with respect to the volatility of commodity prices inherent in the ethanol industry by using forward fixed-price purchase and fixed-price sale contracts and exchange traded commodity futures contracts. Our remaining exposure to market risk, which includes the impact of our risk management activities resulting from our fixed-price purchase and sale contracts and derivatives, is based on the estimated effect on pre-tax income for the twelve months following April 30, 2026 is as follows, assuming normal operating capacity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Estimated Total</w:t>
            </w:r>
          </w:p>
        </w:tc>
        <w:tc>
          <w:tcPr>
            <w:tcW w:w="1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0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Decrease in Pre-tax</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b w:val="1"/>
                <w:bCs w:val="1"/>
                <w:color w:val="auto"/>
              </w:rPr>
              <w:t>Volume for</w:t>
            </w: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3"/>
          </w:tcPr>
          <w:p>
            <w:pPr>
              <w:jc w:val="right"/>
              <w:ind w:right="20"/>
              <w:spacing w:after="0" w:line="243" w:lineRule="exact"/>
              <w:rPr>
                <w:sz w:val="20"/>
                <w:szCs w:val="20"/>
                <w:color w:val="auto"/>
              </w:rPr>
            </w:pPr>
            <w:r>
              <w:rPr>
                <w:rFonts w:ascii="Times New Roman" w:cs="Times New Roman" w:eastAsia="Times New Roman" w:hAnsi="Times New Roman"/>
                <w:sz w:val="22"/>
                <w:szCs w:val="22"/>
                <w:b w:val="1"/>
                <w:bCs w:val="1"/>
                <w:color w:val="auto"/>
              </w:rPr>
              <w:t>Income From a 10%</w:t>
            </w:r>
          </w:p>
        </w:tc>
        <w:tc>
          <w:tcPr>
            <w:tcW w:w="0" w:type="dxa"/>
            <w:vAlign w:val="bottom"/>
          </w:tcPr>
          <w:p>
            <w:pPr>
              <w:spacing w:after="0"/>
              <w:rPr>
                <w:sz w:val="1"/>
                <w:szCs w:val="1"/>
                <w:color w:val="auto"/>
              </w:rPr>
            </w:pPr>
          </w:p>
        </w:tc>
      </w:tr>
      <w:tr>
        <w:trPr>
          <w:trHeight w:val="274"/>
        </w:trPr>
        <w:tc>
          <w:tcPr>
            <w:tcW w:w="4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Commodity</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12 Months</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Unit of Measure</w:t>
            </w:r>
          </w:p>
        </w:tc>
        <w:tc>
          <w:tcPr>
            <w:tcW w:w="250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Adverse Change in Price</w:t>
            </w:r>
          </w:p>
        </w:tc>
        <w:tc>
          <w:tcPr>
            <w:tcW w:w="0" w:type="dxa"/>
            <w:vAlign w:val="bottom"/>
          </w:tcPr>
          <w:p>
            <w:pPr>
              <w:spacing w:after="0"/>
              <w:rPr>
                <w:sz w:val="1"/>
                <w:szCs w:val="1"/>
                <w:color w:val="auto"/>
              </w:rPr>
            </w:pPr>
          </w:p>
        </w:tc>
      </w:tr>
      <w:tr>
        <w:trPr>
          <w:trHeight w:val="236"/>
        </w:trPr>
        <w:tc>
          <w:tcPr>
            <w:tcW w:w="4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202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295,000</w:t>
            </w:r>
          </w:p>
        </w:tc>
        <w:tc>
          <w:tcPr>
            <w:tcW w:w="212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Gallons</w:t>
            </w:r>
          </w:p>
        </w:tc>
        <w:tc>
          <w:tcPr>
            <w:tcW w:w="1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5"/>
              </w:rPr>
              <w:t>51,551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Corn</w:t>
            </w:r>
          </w:p>
        </w:tc>
        <w:tc>
          <w:tcPr>
            <w:tcW w:w="202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102,100</w:t>
            </w:r>
          </w:p>
        </w:tc>
        <w:tc>
          <w:tcPr>
            <w:tcW w:w="212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Bushels</w:t>
            </w:r>
          </w:p>
        </w:tc>
        <w:tc>
          <w:tcPr>
            <w:tcW w:w="1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5"/>
              </w:rPr>
              <w:t>38,272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Grains</w:t>
            </w:r>
          </w:p>
        </w:tc>
        <w:tc>
          <w:tcPr>
            <w:tcW w:w="202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695</w:t>
            </w:r>
          </w:p>
        </w:tc>
        <w:tc>
          <w:tcPr>
            <w:tcW w:w="212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Tons</w:t>
            </w:r>
          </w:p>
        </w:tc>
        <w:tc>
          <w:tcPr>
            <w:tcW w:w="1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8,950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202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98,000</w:t>
            </w:r>
          </w:p>
        </w:tc>
        <w:tc>
          <w:tcPr>
            <w:tcW w:w="212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Pounds</w:t>
            </w:r>
          </w:p>
        </w:tc>
        <w:tc>
          <w:tcPr>
            <w:tcW w:w="1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Natural Gas</w:t>
            </w:r>
          </w:p>
        </w:tc>
        <w:tc>
          <w:tcPr>
            <w:tcW w:w="202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7,400</w:t>
            </w:r>
          </w:p>
        </w:tc>
        <w:tc>
          <w:tcPr>
            <w:tcW w:w="212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MmBtu</w:t>
            </w:r>
          </w:p>
        </w:tc>
        <w:tc>
          <w:tcPr>
            <w:tcW w:w="1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Controls and Procedures</w:t>
      </w:r>
    </w:p>
    <w:p>
      <w:pPr>
        <w:spacing w:after="0" w:line="212" w:lineRule="exact"/>
        <w:rPr>
          <w:sz w:val="20"/>
          <w:szCs w:val="20"/>
          <w:color w:val="auto"/>
        </w:rPr>
      </w:pPr>
    </w:p>
    <w:p>
      <w:pPr>
        <w:ind w:right="320" w:firstLine="648"/>
        <w:spacing w:after="0" w:line="248" w:lineRule="auto"/>
        <w:rPr>
          <w:sz w:val="20"/>
          <w:szCs w:val="20"/>
          <w:color w:val="auto"/>
        </w:rPr>
      </w:pPr>
      <w:r>
        <w:rPr>
          <w:rFonts w:ascii="Times New Roman" w:cs="Times New Roman" w:eastAsia="Times New Roman" w:hAnsi="Times New Roman"/>
          <w:sz w:val="21"/>
          <w:szCs w:val="21"/>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Legal Proceedings</w:t>
      </w:r>
    </w:p>
    <w:p>
      <w:pPr>
        <w:spacing w:after="0" w:line="2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1A. </w:t>
      </w:r>
      <w:r>
        <w:rPr>
          <w:rFonts w:ascii="Times New Roman" w:cs="Times New Roman" w:eastAsia="Times New Roman" w:hAnsi="Times New Roman"/>
          <w:sz w:val="22"/>
          <w:szCs w:val="22"/>
          <w:b w:val="1"/>
          <w:bCs w:val="1"/>
          <w:i w:val="1"/>
          <w:iCs w:val="1"/>
          <w:color w:val="auto"/>
        </w:rPr>
        <w:t>Risk Factors</w:t>
      </w:r>
    </w:p>
    <w:p>
      <w:pPr>
        <w:spacing w:after="0" w:line="21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risk factors discussed in our Annual Report on Form 10-K for the year ended January 31, 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Unregistered Sales of Equity Securities and Use of Proceeds</w:t>
      </w:r>
    </w:p>
    <w:p>
      <w:pPr>
        <w:spacing w:after="0" w:line="21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1"/>
          <w:szCs w:val="21"/>
          <w:color w:val="auto"/>
        </w:rPr>
        <w:t>On March 25, 2025, the Board of Directors authorized the repurchase from time to time of up to an additional 3,000,000 shares through open market transactions, privately negotiated transactions, or transactions by other means in accordance with applicable securities laws. At April 30, 2026, a total of 2,357,186 shares remained available to purchase under this authorization.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were no share repurchases by the Company in the first quarter of fiscal year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Defaults upon Senior Securities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Mine Safety Disclosures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i w:val="1"/>
          <w:iCs w:val="1"/>
          <w:color w:val="auto"/>
        </w:rPr>
        <w:t>Other Information</w:t>
      </w:r>
    </w:p>
    <w:p>
      <w:pPr>
        <w:spacing w:after="0" w:line="212" w:lineRule="exact"/>
        <w:rPr>
          <w:sz w:val="20"/>
          <w:szCs w:val="20"/>
          <w:color w:val="auto"/>
        </w:rPr>
      </w:pPr>
    </w:p>
    <w:p>
      <w:pPr>
        <w:ind w:right="400" w:firstLine="648"/>
        <w:spacing w:after="0" w:line="244" w:lineRule="auto"/>
        <w:rPr>
          <w:sz w:val="20"/>
          <w:szCs w:val="20"/>
          <w:color w:val="auto"/>
        </w:rPr>
      </w:pPr>
      <w:r>
        <w:rPr>
          <w:rFonts w:ascii="Times New Roman" w:cs="Times New Roman" w:eastAsia="Times New Roman" w:hAnsi="Times New Roman"/>
          <w:sz w:val="22"/>
          <w:szCs w:val="22"/>
          <w:color w:val="auto"/>
        </w:rPr>
        <w:t>During the three month period ended April 30, 2026, no director or officer, as defined in Rule 16a-1(f), adopted or terminated a “Rule 10b5-1 trading arrangement” or a “non-Rule 10b5-1 trading arrangement,” each as defined in Item 408 of Regulation S-K.</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exhibits are filed with this report: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3(i)+</w:t>
            </w:r>
          </w:p>
        </w:tc>
        <w:tc>
          <w:tcPr>
            <w:tcW w:w="9620" w:type="dxa"/>
            <w:vAlign w:val="bottom"/>
            <w:gridSpan w:val="21"/>
          </w:tcPr>
          <w:p>
            <w:pPr>
              <w:spacing w:after="0"/>
              <w:rPr>
                <w:rFonts w:ascii="Times New Roman" w:cs="Times New Roman" w:eastAsia="Times New Roman" w:hAnsi="Times New Roman"/>
                <w:sz w:val="22"/>
                <w:szCs w:val="22"/>
                <w:color w:val="0000EE"/>
              </w:rPr>
            </w:pPr>
            <w:hyperlink r:id="rId51">
              <w:r>
                <w:rPr>
                  <w:rFonts w:ascii="Times New Roman" w:cs="Times New Roman" w:eastAsia="Times New Roman" w:hAnsi="Times New Roman"/>
                  <w:sz w:val="22"/>
                  <w:szCs w:val="22"/>
                  <w:color w:val="0000EE"/>
                </w:rPr>
                <w:t>Certificate of Incorporation, as amended (incorporated by reference to Exhibit 3(a) to Form 10-Q for quarter</w:t>
              </w:r>
            </w:hyperlink>
          </w:p>
        </w:tc>
      </w:tr>
      <w:tr>
        <w:trPr>
          <w:trHeight w:val="223"/>
        </w:trPr>
        <w:tc>
          <w:tcPr>
            <w:tcW w:w="1620" w:type="dxa"/>
            <w:vAlign w:val="bottom"/>
          </w:tcPr>
          <w:p>
            <w:pPr>
              <w:spacing w:after="0"/>
              <w:rPr>
                <w:sz w:val="19"/>
                <w:szCs w:val="19"/>
                <w:color w:val="auto"/>
              </w:rPr>
            </w:pPr>
          </w:p>
        </w:tc>
        <w:tc>
          <w:tcPr>
            <w:tcW w:w="9380" w:type="dxa"/>
            <w:vAlign w:val="bottom"/>
            <w:tcBorders>
              <w:top w:val="single" w:sz="8" w:color="0000EE"/>
            </w:tcBorders>
            <w:gridSpan w:val="15"/>
          </w:tcPr>
          <w:p>
            <w:pPr>
              <w:spacing w:after="0" w:line="223" w:lineRule="exact"/>
              <w:rPr>
                <w:rFonts w:ascii="Times New Roman" w:cs="Times New Roman" w:eastAsia="Times New Roman" w:hAnsi="Times New Roman"/>
                <w:sz w:val="22"/>
                <w:szCs w:val="22"/>
                <w:color w:val="0000EE"/>
              </w:rPr>
            </w:pPr>
            <w:hyperlink r:id="rId51">
              <w:r>
                <w:rPr>
                  <w:rFonts w:ascii="Times New Roman" w:cs="Times New Roman" w:eastAsia="Times New Roman" w:hAnsi="Times New Roman"/>
                  <w:sz w:val="22"/>
                  <w:szCs w:val="22"/>
                  <w:color w:val="0000EE"/>
                </w:rPr>
                <w:t>ended July 31, 2010, File No. 001-09097)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3(ii)+</w:t>
            </w:r>
          </w:p>
        </w:tc>
        <w:tc>
          <w:tcPr>
            <w:tcW w:w="9620" w:type="dxa"/>
            <w:vAlign w:val="bottom"/>
            <w:gridSpan w:val="21"/>
          </w:tcPr>
          <w:p>
            <w:pPr>
              <w:spacing w:after="0"/>
              <w:rPr>
                <w:rFonts w:ascii="Times New Roman" w:cs="Times New Roman" w:eastAsia="Times New Roman" w:hAnsi="Times New Roman"/>
                <w:sz w:val="22"/>
                <w:szCs w:val="22"/>
                <w:color w:val="0000EE"/>
              </w:rPr>
            </w:pPr>
            <w:hyperlink r:id="rId52">
              <w:r>
                <w:rPr>
                  <w:rFonts w:ascii="Times New Roman" w:cs="Times New Roman" w:eastAsia="Times New Roman" w:hAnsi="Times New Roman"/>
                  <w:sz w:val="22"/>
                  <w:szCs w:val="22"/>
                  <w:color w:val="0000EE"/>
                </w:rPr>
                <w:t>By-Laws, as amended (incorporated by reference to Exhibit 3(ii) to Form 8-K filed August 7, 2024, File No.</w:t>
              </w:r>
            </w:hyperlink>
          </w:p>
        </w:tc>
      </w:tr>
      <w:tr>
        <w:trPr>
          <w:trHeight w:val="223"/>
        </w:trPr>
        <w:tc>
          <w:tcPr>
            <w:tcW w:w="1620" w:type="dxa"/>
            <w:vAlign w:val="bottom"/>
          </w:tcPr>
          <w:p>
            <w:pPr>
              <w:spacing w:after="0"/>
              <w:rPr>
                <w:sz w:val="19"/>
                <w:szCs w:val="19"/>
                <w:color w:val="auto"/>
              </w:rPr>
            </w:pPr>
          </w:p>
        </w:tc>
        <w:tc>
          <w:tcPr>
            <w:tcW w:w="1020" w:type="dxa"/>
            <w:vAlign w:val="bottom"/>
            <w:tcBorders>
              <w:top w:val="single" w:sz="8" w:color="0000EE"/>
              <w:bottom w:val="single" w:sz="8" w:color="0000EE"/>
            </w:tcBorders>
            <w:gridSpan w:val="2"/>
          </w:tcPr>
          <w:p>
            <w:pPr>
              <w:spacing w:after="0" w:line="223" w:lineRule="exact"/>
              <w:rPr>
                <w:rFonts w:ascii="Times New Roman" w:cs="Times New Roman" w:eastAsia="Times New Roman" w:hAnsi="Times New Roman"/>
                <w:sz w:val="22"/>
                <w:szCs w:val="22"/>
                <w:color w:val="0000EE"/>
                <w:w w:val="97"/>
              </w:rPr>
            </w:pPr>
            <w:hyperlink r:id="rId52">
              <w:r>
                <w:rPr>
                  <w:rFonts w:ascii="Times New Roman" w:cs="Times New Roman" w:eastAsia="Times New Roman" w:hAnsi="Times New Roman"/>
                  <w:sz w:val="22"/>
                  <w:szCs w:val="22"/>
                  <w:color w:val="0000EE"/>
                  <w:w w:val="97"/>
                </w:rPr>
                <w:t>001-09097)</w:t>
              </w:r>
            </w:hyperlink>
          </w:p>
        </w:tc>
        <w:tc>
          <w:tcPr>
            <w:tcW w:w="36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7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25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66"/>
        </w:trPr>
        <w:tc>
          <w:tcPr>
            <w:tcW w:w="1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4(a)+</w:t>
            </w:r>
          </w:p>
        </w:tc>
        <w:tc>
          <w:tcPr>
            <w:tcW w:w="9620" w:type="dxa"/>
            <w:vAlign w:val="bottom"/>
            <w:gridSpan w:val="21"/>
          </w:tcPr>
          <w:p>
            <w:pPr>
              <w:spacing w:after="0"/>
              <w:rPr>
                <w:rFonts w:ascii="Times New Roman" w:cs="Times New Roman" w:eastAsia="Times New Roman" w:hAnsi="Times New Roman"/>
                <w:sz w:val="22"/>
                <w:szCs w:val="22"/>
                <w:color w:val="0000EE"/>
              </w:rPr>
            </w:pPr>
            <w:hyperlink r:id="rId53">
              <w:r>
                <w:rPr>
                  <w:rFonts w:ascii="Times New Roman" w:cs="Times New Roman" w:eastAsia="Times New Roman" w:hAnsi="Times New Roman"/>
                  <w:sz w:val="22"/>
                  <w:szCs w:val="22"/>
                  <w:color w:val="0000EE"/>
                </w:rPr>
                <w:t>Description of Securities Registered Under Section 12 of the Exchange Act (incorporated by reference to</w:t>
              </w:r>
            </w:hyperlink>
          </w:p>
        </w:tc>
      </w:tr>
      <w:tr>
        <w:trPr>
          <w:trHeight w:val="223"/>
        </w:trPr>
        <w:tc>
          <w:tcPr>
            <w:tcW w:w="1620" w:type="dxa"/>
            <w:vAlign w:val="bottom"/>
          </w:tcPr>
          <w:p>
            <w:pPr>
              <w:spacing w:after="0"/>
              <w:rPr>
                <w:sz w:val="19"/>
                <w:szCs w:val="19"/>
                <w:color w:val="auto"/>
              </w:rPr>
            </w:pPr>
          </w:p>
        </w:tc>
        <w:tc>
          <w:tcPr>
            <w:tcW w:w="9080" w:type="dxa"/>
            <w:vAlign w:val="bottom"/>
            <w:tcBorders>
              <w:top w:val="single" w:sz="8" w:color="0000EE"/>
            </w:tcBorders>
            <w:gridSpan w:val="12"/>
          </w:tcPr>
          <w:p>
            <w:pPr>
              <w:spacing w:after="0" w:line="223" w:lineRule="exact"/>
              <w:rPr>
                <w:rFonts w:ascii="Times New Roman" w:cs="Times New Roman" w:eastAsia="Times New Roman" w:hAnsi="Times New Roman"/>
                <w:sz w:val="22"/>
                <w:szCs w:val="22"/>
                <w:color w:val="0000EE"/>
              </w:rPr>
            </w:pPr>
            <w:hyperlink r:id="rId53">
              <w:r>
                <w:rPr>
                  <w:rFonts w:ascii="Times New Roman" w:cs="Times New Roman" w:eastAsia="Times New Roman" w:hAnsi="Times New Roman"/>
                  <w:sz w:val="22"/>
                  <w:szCs w:val="22"/>
                  <w:color w:val="0000EE"/>
                </w:rPr>
                <w:t>Exhibit 4(a) to Form 10-K filed April 1, 2020, File No. 001-09097)</w:t>
              </w:r>
            </w:hyperlink>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10(a)+^</w:t>
            </w:r>
          </w:p>
        </w:tc>
        <w:tc>
          <w:tcPr>
            <w:tcW w:w="9620" w:type="dxa"/>
            <w:vAlign w:val="bottom"/>
            <w:gridSpan w:val="21"/>
          </w:tcPr>
          <w:p>
            <w:pPr>
              <w:spacing w:after="0"/>
              <w:rPr>
                <w:rFonts w:ascii="Times New Roman" w:cs="Times New Roman" w:eastAsia="Times New Roman" w:hAnsi="Times New Roman"/>
                <w:sz w:val="22"/>
                <w:szCs w:val="22"/>
                <w:color w:val="0000EE"/>
              </w:rPr>
            </w:pPr>
            <w:hyperlink r:id="rId54">
              <w:r>
                <w:rPr>
                  <w:rFonts w:ascii="Times New Roman" w:cs="Times New Roman" w:eastAsia="Times New Roman" w:hAnsi="Times New Roman"/>
                  <w:sz w:val="22"/>
                  <w:szCs w:val="22"/>
                  <w:color w:val="0000EE"/>
                </w:rPr>
                <w:t>Employment Agreement dated May 24, 2022 between Rex Radio and Television, Inc. (a subsidiary of the</w:t>
              </w:r>
            </w:hyperlink>
          </w:p>
        </w:tc>
      </w:tr>
      <w:tr>
        <w:trPr>
          <w:trHeight w:val="223"/>
        </w:trPr>
        <w:tc>
          <w:tcPr>
            <w:tcW w:w="1620" w:type="dxa"/>
            <w:vAlign w:val="bottom"/>
          </w:tcPr>
          <w:p>
            <w:pPr>
              <w:spacing w:after="0"/>
              <w:rPr>
                <w:sz w:val="19"/>
                <w:szCs w:val="19"/>
                <w:color w:val="auto"/>
              </w:rPr>
            </w:pPr>
          </w:p>
        </w:tc>
        <w:tc>
          <w:tcPr>
            <w:tcW w:w="9160" w:type="dxa"/>
            <w:vAlign w:val="bottom"/>
            <w:tcBorders>
              <w:top w:val="single" w:sz="8" w:color="0000EE"/>
            </w:tcBorders>
            <w:gridSpan w:val="14"/>
          </w:tcPr>
          <w:p>
            <w:pPr>
              <w:spacing w:after="0" w:line="223" w:lineRule="exact"/>
              <w:rPr>
                <w:rFonts w:ascii="Times New Roman" w:cs="Times New Roman" w:eastAsia="Times New Roman" w:hAnsi="Times New Roman"/>
                <w:sz w:val="22"/>
                <w:szCs w:val="22"/>
                <w:color w:val="0000EE"/>
                <w:w w:val="97"/>
              </w:rPr>
            </w:pPr>
            <w:hyperlink r:id="rId54">
              <w:r>
                <w:rPr>
                  <w:rFonts w:ascii="Times New Roman" w:cs="Times New Roman" w:eastAsia="Times New Roman" w:hAnsi="Times New Roman"/>
                  <w:sz w:val="22"/>
                  <w:szCs w:val="22"/>
                  <w:color w:val="0000EE"/>
                  <w:w w:val="97"/>
                </w:rPr>
                <w:t>Company) and Zafar A. Rizvi (incorporated by reference to Exhibit 10.1 to Form 8-K filed May 27, 2022,</w:t>
              </w:r>
            </w:hyperlink>
          </w:p>
        </w:tc>
        <w:tc>
          <w:tcPr>
            <w:tcW w:w="460" w:type="dxa"/>
            <w:vAlign w:val="bottom"/>
            <w:gridSpan w:val="7"/>
          </w:tcPr>
          <w:p>
            <w:pPr>
              <w:ind w:left="80"/>
              <w:spacing w:after="0" w:line="223" w:lineRule="exact"/>
              <w:rPr>
                <w:rFonts w:ascii="Times New Roman" w:cs="Times New Roman" w:eastAsia="Times New Roman" w:hAnsi="Times New Roman"/>
                <w:sz w:val="22"/>
                <w:szCs w:val="22"/>
                <w:color w:val="0000EE"/>
              </w:rPr>
            </w:pPr>
            <w:hyperlink r:id="rId54">
              <w:r>
                <w:rPr>
                  <w:rFonts w:ascii="Times New Roman" w:cs="Times New Roman" w:eastAsia="Times New Roman" w:hAnsi="Times New Roman"/>
                  <w:sz w:val="22"/>
                  <w:szCs w:val="22"/>
                  <w:color w:val="0000EE"/>
                </w:rPr>
                <w:t>File</w:t>
              </w:r>
            </w:hyperlink>
          </w:p>
        </w:tc>
      </w:tr>
      <w:tr>
        <w:trPr>
          <w:trHeight w:val="223"/>
        </w:trPr>
        <w:tc>
          <w:tcPr>
            <w:tcW w:w="1620" w:type="dxa"/>
            <w:vAlign w:val="bottom"/>
          </w:tcPr>
          <w:p>
            <w:pPr>
              <w:spacing w:after="0"/>
              <w:rPr>
                <w:sz w:val="19"/>
                <w:szCs w:val="19"/>
                <w:color w:val="auto"/>
              </w:rPr>
            </w:pPr>
          </w:p>
        </w:tc>
        <w:tc>
          <w:tcPr>
            <w:tcW w:w="9560" w:type="dxa"/>
            <w:vAlign w:val="bottom"/>
            <w:tcBorders>
              <w:top w:val="single" w:sz="8" w:color="0000EE"/>
            </w:tcBorders>
            <w:gridSpan w:val="19"/>
          </w:tcPr>
          <w:p>
            <w:pPr>
              <w:spacing w:after="0" w:line="223" w:lineRule="exact"/>
              <w:rPr>
                <w:rFonts w:ascii="Times New Roman" w:cs="Times New Roman" w:eastAsia="Times New Roman" w:hAnsi="Times New Roman"/>
                <w:sz w:val="22"/>
                <w:szCs w:val="22"/>
                <w:color w:val="0000EE"/>
              </w:rPr>
            </w:pPr>
            <w:hyperlink r:id="rId54">
              <w:r>
                <w:rPr>
                  <w:rFonts w:ascii="Times New Roman" w:cs="Times New Roman" w:eastAsia="Times New Roman" w:hAnsi="Times New Roman"/>
                  <w:sz w:val="22"/>
                  <w:szCs w:val="22"/>
                  <w:color w:val="0000EE"/>
                </w:rPr>
                <w:t>No. 001-09097)</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10(b)+^</w:t>
            </w:r>
          </w:p>
        </w:tc>
        <w:tc>
          <w:tcPr>
            <w:tcW w:w="9620" w:type="dxa"/>
            <w:vAlign w:val="bottom"/>
            <w:gridSpan w:val="21"/>
          </w:tcPr>
          <w:p>
            <w:pPr>
              <w:spacing w:after="0"/>
              <w:rPr>
                <w:rFonts w:ascii="Times New Roman" w:cs="Times New Roman" w:eastAsia="Times New Roman" w:hAnsi="Times New Roman"/>
                <w:sz w:val="22"/>
                <w:szCs w:val="22"/>
                <w:color w:val="0000EE"/>
              </w:rPr>
            </w:pPr>
            <w:hyperlink r:id="rId55">
              <w:r>
                <w:rPr>
                  <w:rFonts w:ascii="Times New Roman" w:cs="Times New Roman" w:eastAsia="Times New Roman" w:hAnsi="Times New Roman"/>
                  <w:sz w:val="22"/>
                  <w:szCs w:val="22"/>
                  <w:color w:val="0000EE"/>
                </w:rPr>
                <w:t>Employment Agreement dated May 24, 2022 between Rex Radio and Television, Inc. (a subsidiary of the</w:t>
              </w:r>
            </w:hyperlink>
          </w:p>
        </w:tc>
      </w:tr>
      <w:tr>
        <w:trPr>
          <w:trHeight w:val="223"/>
        </w:trPr>
        <w:tc>
          <w:tcPr>
            <w:tcW w:w="1620" w:type="dxa"/>
            <w:vAlign w:val="bottom"/>
          </w:tcPr>
          <w:p>
            <w:pPr>
              <w:spacing w:after="0"/>
              <w:rPr>
                <w:sz w:val="19"/>
                <w:szCs w:val="19"/>
                <w:color w:val="auto"/>
              </w:rPr>
            </w:pPr>
          </w:p>
        </w:tc>
        <w:tc>
          <w:tcPr>
            <w:tcW w:w="9140" w:type="dxa"/>
            <w:vAlign w:val="bottom"/>
            <w:tcBorders>
              <w:top w:val="single" w:sz="8" w:color="0000EE"/>
            </w:tcBorders>
            <w:gridSpan w:val="13"/>
          </w:tcPr>
          <w:p>
            <w:pPr>
              <w:spacing w:after="0" w:line="223" w:lineRule="exact"/>
              <w:rPr>
                <w:rFonts w:ascii="Times New Roman" w:cs="Times New Roman" w:eastAsia="Times New Roman" w:hAnsi="Times New Roman"/>
                <w:sz w:val="22"/>
                <w:szCs w:val="22"/>
                <w:color w:val="0000EE"/>
                <w:w w:val="98"/>
              </w:rPr>
            </w:pPr>
            <w:hyperlink r:id="rId55">
              <w:r>
                <w:rPr>
                  <w:rFonts w:ascii="Times New Roman" w:cs="Times New Roman" w:eastAsia="Times New Roman" w:hAnsi="Times New Roman"/>
                  <w:sz w:val="22"/>
                  <w:szCs w:val="22"/>
                  <w:color w:val="0000EE"/>
                  <w:w w:val="98"/>
                </w:rPr>
                <w:t>Company) and Douglas L. Bruggeman (incorporated by reference to Exhibit 10.2 to Form 8-K filed May</w:t>
              </w:r>
            </w:hyperlink>
          </w:p>
        </w:tc>
        <w:tc>
          <w:tcPr>
            <w:tcW w:w="380" w:type="dxa"/>
            <w:vAlign w:val="bottom"/>
            <w:gridSpan w:val="5"/>
          </w:tcPr>
          <w:p>
            <w:pPr>
              <w:jc w:val="right"/>
              <w:ind w:right="120"/>
              <w:spacing w:after="0" w:line="223" w:lineRule="exact"/>
              <w:rPr>
                <w:rFonts w:ascii="Times New Roman" w:cs="Times New Roman" w:eastAsia="Times New Roman" w:hAnsi="Times New Roman"/>
                <w:sz w:val="22"/>
                <w:szCs w:val="22"/>
                <w:color w:val="0000EE"/>
                <w:w w:val="87"/>
              </w:rPr>
            </w:pPr>
            <w:hyperlink r:id="rId55">
              <w:r>
                <w:rPr>
                  <w:rFonts w:ascii="Times New Roman" w:cs="Times New Roman" w:eastAsia="Times New Roman" w:hAnsi="Times New Roman"/>
                  <w:sz w:val="22"/>
                  <w:szCs w:val="22"/>
                  <w:color w:val="0000EE"/>
                  <w:w w:val="87"/>
                </w:rPr>
                <w:t>27,</w:t>
              </w:r>
            </w:hyperlink>
          </w:p>
        </w:tc>
        <w:tc>
          <w:tcPr>
            <w:tcW w:w="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1620" w:type="dxa"/>
            <w:vAlign w:val="bottom"/>
          </w:tcPr>
          <w:p>
            <w:pPr>
              <w:spacing w:after="0"/>
              <w:rPr>
                <w:sz w:val="19"/>
                <w:szCs w:val="19"/>
                <w:color w:val="auto"/>
              </w:rPr>
            </w:pPr>
          </w:p>
        </w:tc>
        <w:tc>
          <w:tcPr>
            <w:tcW w:w="2320" w:type="dxa"/>
            <w:vAlign w:val="bottom"/>
            <w:tcBorders>
              <w:top w:val="single" w:sz="8" w:color="0000EE"/>
              <w:bottom w:val="single" w:sz="8" w:color="0000EE"/>
            </w:tcBorders>
            <w:gridSpan w:val="4"/>
          </w:tcPr>
          <w:p>
            <w:pPr>
              <w:spacing w:after="0" w:line="223" w:lineRule="exact"/>
              <w:rPr>
                <w:rFonts w:ascii="Times New Roman" w:cs="Times New Roman" w:eastAsia="Times New Roman" w:hAnsi="Times New Roman"/>
                <w:sz w:val="22"/>
                <w:szCs w:val="22"/>
                <w:color w:val="0000EE"/>
                <w:w w:val="97"/>
              </w:rPr>
            </w:pPr>
            <w:hyperlink r:id="rId55">
              <w:r>
                <w:rPr>
                  <w:rFonts w:ascii="Times New Roman" w:cs="Times New Roman" w:eastAsia="Times New Roman" w:hAnsi="Times New Roman"/>
                  <w:sz w:val="22"/>
                  <w:szCs w:val="22"/>
                  <w:color w:val="0000EE"/>
                  <w:w w:val="97"/>
                </w:rPr>
                <w:t>2022, File No. 001-09097)</w:t>
              </w:r>
            </w:hyperlink>
          </w:p>
        </w:tc>
        <w:tc>
          <w:tcPr>
            <w:tcW w:w="7100" w:type="dxa"/>
            <w:vAlign w:val="bottom"/>
            <w:tcBorders>
              <w:top w:val="single" w:sz="8" w:color="0000EE"/>
            </w:tcBorders>
            <w:gridSpan w:val="13"/>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r>
      <w:tr>
        <w:trPr>
          <w:trHeight w:val="466"/>
        </w:trPr>
        <w:tc>
          <w:tcPr>
            <w:tcW w:w="1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10(c)+^</w:t>
            </w:r>
          </w:p>
        </w:tc>
        <w:tc>
          <w:tcPr>
            <w:tcW w:w="9620" w:type="dxa"/>
            <w:vAlign w:val="bottom"/>
            <w:gridSpan w:val="21"/>
          </w:tcPr>
          <w:p>
            <w:pPr>
              <w:spacing w:after="0"/>
              <w:rPr>
                <w:rFonts w:ascii="Times New Roman" w:cs="Times New Roman" w:eastAsia="Times New Roman" w:hAnsi="Times New Roman"/>
                <w:sz w:val="22"/>
                <w:szCs w:val="22"/>
                <w:color w:val="0000EE"/>
              </w:rPr>
            </w:pPr>
            <w:hyperlink r:id="rId56">
              <w:r>
                <w:rPr>
                  <w:rFonts w:ascii="Times New Roman" w:cs="Times New Roman" w:eastAsia="Times New Roman" w:hAnsi="Times New Roman"/>
                  <w:sz w:val="22"/>
                  <w:szCs w:val="22"/>
                  <w:color w:val="0000EE"/>
                </w:rPr>
                <w:t>Employment Agreement dated May 24, 2022 between Rex Radio and Television, Inc. (a subsidiary of the</w:t>
              </w:r>
            </w:hyperlink>
          </w:p>
        </w:tc>
      </w:tr>
      <w:tr>
        <w:trPr>
          <w:trHeight w:val="223"/>
        </w:trPr>
        <w:tc>
          <w:tcPr>
            <w:tcW w:w="1620" w:type="dxa"/>
            <w:vAlign w:val="bottom"/>
          </w:tcPr>
          <w:p>
            <w:pPr>
              <w:spacing w:after="0"/>
              <w:rPr>
                <w:sz w:val="19"/>
                <w:szCs w:val="19"/>
                <w:color w:val="auto"/>
              </w:rPr>
            </w:pPr>
          </w:p>
        </w:tc>
        <w:tc>
          <w:tcPr>
            <w:tcW w:w="9160" w:type="dxa"/>
            <w:vAlign w:val="bottom"/>
            <w:tcBorders>
              <w:top w:val="single" w:sz="8" w:color="0000EE"/>
            </w:tcBorders>
            <w:gridSpan w:val="14"/>
          </w:tcPr>
          <w:p>
            <w:pPr>
              <w:spacing w:after="0" w:line="223" w:lineRule="exact"/>
              <w:rPr>
                <w:rFonts w:ascii="Times New Roman" w:cs="Times New Roman" w:eastAsia="Times New Roman" w:hAnsi="Times New Roman"/>
                <w:sz w:val="22"/>
                <w:szCs w:val="22"/>
                <w:color w:val="0000EE"/>
                <w:w w:val="97"/>
              </w:rPr>
            </w:pPr>
            <w:hyperlink r:id="rId56">
              <w:r>
                <w:rPr>
                  <w:rFonts w:ascii="Times New Roman" w:cs="Times New Roman" w:eastAsia="Times New Roman" w:hAnsi="Times New Roman"/>
                  <w:sz w:val="22"/>
                  <w:szCs w:val="22"/>
                  <w:color w:val="0000EE"/>
                  <w:w w:val="97"/>
                </w:rPr>
                <w:t>Company) and Stuart A. Rose (incorporated by reference to Exhibit 10.3 to Form 8-K filed May 27, 2022,</w:t>
              </w:r>
            </w:hyperlink>
          </w:p>
        </w:tc>
        <w:tc>
          <w:tcPr>
            <w:tcW w:w="460" w:type="dxa"/>
            <w:vAlign w:val="bottom"/>
            <w:gridSpan w:val="7"/>
          </w:tcPr>
          <w:p>
            <w:pPr>
              <w:ind w:left="80"/>
              <w:spacing w:after="0" w:line="223" w:lineRule="exact"/>
              <w:rPr>
                <w:rFonts w:ascii="Times New Roman" w:cs="Times New Roman" w:eastAsia="Times New Roman" w:hAnsi="Times New Roman"/>
                <w:sz w:val="22"/>
                <w:szCs w:val="22"/>
                <w:color w:val="0000EE"/>
              </w:rPr>
            </w:pPr>
            <w:hyperlink r:id="rId56">
              <w:r>
                <w:rPr>
                  <w:rFonts w:ascii="Times New Roman" w:cs="Times New Roman" w:eastAsia="Times New Roman" w:hAnsi="Times New Roman"/>
                  <w:sz w:val="22"/>
                  <w:szCs w:val="22"/>
                  <w:color w:val="0000EE"/>
                </w:rPr>
                <w:t>File</w:t>
              </w:r>
            </w:hyperlink>
          </w:p>
        </w:tc>
      </w:tr>
      <w:tr>
        <w:trPr>
          <w:trHeight w:val="223"/>
        </w:trPr>
        <w:tc>
          <w:tcPr>
            <w:tcW w:w="1620" w:type="dxa"/>
            <w:vAlign w:val="bottom"/>
          </w:tcPr>
          <w:p>
            <w:pPr>
              <w:spacing w:after="0"/>
              <w:rPr>
                <w:sz w:val="19"/>
                <w:szCs w:val="19"/>
                <w:color w:val="auto"/>
              </w:rPr>
            </w:pPr>
          </w:p>
        </w:tc>
        <w:tc>
          <w:tcPr>
            <w:tcW w:w="9580" w:type="dxa"/>
            <w:vAlign w:val="bottom"/>
            <w:tcBorders>
              <w:top w:val="single" w:sz="8" w:color="0000EE"/>
            </w:tcBorders>
            <w:gridSpan w:val="20"/>
          </w:tcPr>
          <w:p>
            <w:pPr>
              <w:spacing w:after="0" w:line="223" w:lineRule="exact"/>
              <w:rPr>
                <w:rFonts w:ascii="Times New Roman" w:cs="Times New Roman" w:eastAsia="Times New Roman" w:hAnsi="Times New Roman"/>
                <w:sz w:val="22"/>
                <w:szCs w:val="22"/>
                <w:color w:val="0000EE"/>
              </w:rPr>
            </w:pPr>
            <w:hyperlink r:id="rId56">
              <w:r>
                <w:rPr>
                  <w:rFonts w:ascii="Times New Roman" w:cs="Times New Roman" w:eastAsia="Times New Roman" w:hAnsi="Times New Roman"/>
                  <w:sz w:val="22"/>
                  <w:szCs w:val="22"/>
                  <w:color w:val="0000EE"/>
                </w:rPr>
                <w:t>No. 001-09097)</w:t>
              </w:r>
            </w:hyperlink>
          </w:p>
        </w:tc>
        <w:tc>
          <w:tcPr>
            <w:tcW w:w="4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66"/>
        </w:trPr>
        <w:tc>
          <w:tcPr>
            <w:tcW w:w="1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10(d)+^</w:t>
            </w:r>
          </w:p>
        </w:tc>
        <w:tc>
          <w:tcPr>
            <w:tcW w:w="9620" w:type="dxa"/>
            <w:vAlign w:val="bottom"/>
            <w:gridSpan w:val="21"/>
          </w:tcPr>
          <w:p>
            <w:pPr>
              <w:spacing w:after="0"/>
              <w:rPr>
                <w:rFonts w:ascii="Times New Roman" w:cs="Times New Roman" w:eastAsia="Times New Roman" w:hAnsi="Times New Roman"/>
                <w:sz w:val="22"/>
                <w:szCs w:val="22"/>
                <w:color w:val="0000EE"/>
                <w:w w:val="99"/>
              </w:rPr>
            </w:pPr>
            <w:hyperlink r:id="rId57">
              <w:r>
                <w:rPr>
                  <w:rFonts w:ascii="Times New Roman" w:cs="Times New Roman" w:eastAsia="Times New Roman" w:hAnsi="Times New Roman"/>
                  <w:sz w:val="22"/>
                  <w:szCs w:val="22"/>
                  <w:color w:val="0000EE"/>
                  <w:w w:val="99"/>
                </w:rPr>
                <w:t>2015 Incentive Plan (incorporated by reference to Exhibit 10(d) to Form 8-K filed June 8, 2015, File No. 001-</w:t>
              </w:r>
            </w:hyperlink>
          </w:p>
        </w:tc>
      </w:tr>
      <w:tr>
        <w:trPr>
          <w:trHeight w:val="223"/>
        </w:trPr>
        <w:tc>
          <w:tcPr>
            <w:tcW w:w="1620" w:type="dxa"/>
            <w:vAlign w:val="bottom"/>
          </w:tcPr>
          <w:p>
            <w:pPr>
              <w:spacing w:after="0"/>
              <w:rPr>
                <w:sz w:val="19"/>
                <w:szCs w:val="19"/>
                <w:color w:val="auto"/>
              </w:rPr>
            </w:pPr>
          </w:p>
        </w:tc>
        <w:tc>
          <w:tcPr>
            <w:tcW w:w="620" w:type="dxa"/>
            <w:vAlign w:val="bottom"/>
            <w:tcBorders>
              <w:top w:val="single" w:sz="8" w:color="0000EE"/>
              <w:bottom w:val="single" w:sz="8" w:color="0000EE"/>
            </w:tcBorders>
          </w:tcPr>
          <w:p>
            <w:pPr>
              <w:spacing w:after="0" w:line="223" w:lineRule="exact"/>
              <w:rPr>
                <w:rFonts w:ascii="Times New Roman" w:cs="Times New Roman" w:eastAsia="Times New Roman" w:hAnsi="Times New Roman"/>
                <w:sz w:val="22"/>
                <w:szCs w:val="22"/>
                <w:color w:val="0000EE"/>
                <w:w w:val="96"/>
              </w:rPr>
            </w:pPr>
            <w:hyperlink r:id="rId57">
              <w:r>
                <w:rPr>
                  <w:rFonts w:ascii="Times New Roman" w:cs="Times New Roman" w:eastAsia="Times New Roman" w:hAnsi="Times New Roman"/>
                  <w:sz w:val="22"/>
                  <w:szCs w:val="22"/>
                  <w:color w:val="0000EE"/>
                  <w:w w:val="96"/>
                </w:rPr>
                <w:t>09097)</w:t>
              </w:r>
            </w:hyperlink>
          </w:p>
        </w:tc>
        <w:tc>
          <w:tcPr>
            <w:tcW w:w="4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7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25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66"/>
        </w:trPr>
        <w:tc>
          <w:tcPr>
            <w:tcW w:w="1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10(e)+^</w:t>
            </w:r>
          </w:p>
        </w:tc>
        <w:tc>
          <w:tcPr>
            <w:tcW w:w="9620" w:type="dxa"/>
            <w:vAlign w:val="bottom"/>
            <w:gridSpan w:val="21"/>
          </w:tcPr>
          <w:p>
            <w:pPr>
              <w:spacing w:after="0"/>
              <w:rPr>
                <w:rFonts w:ascii="Times New Roman" w:cs="Times New Roman" w:eastAsia="Times New Roman" w:hAnsi="Times New Roman"/>
                <w:sz w:val="22"/>
                <w:szCs w:val="22"/>
                <w:color w:val="0000EE"/>
              </w:rPr>
            </w:pPr>
            <w:hyperlink r:id="rId58">
              <w:r>
                <w:rPr>
                  <w:rFonts w:ascii="Times New Roman" w:cs="Times New Roman" w:eastAsia="Times New Roman" w:hAnsi="Times New Roman"/>
                  <w:sz w:val="22"/>
                  <w:szCs w:val="22"/>
                  <w:color w:val="0000EE"/>
                </w:rPr>
                <w:t>Form of Restricted Stock Award Agreement under the REX American Resources 2015 Incentive Plan</w:t>
              </w:r>
            </w:hyperlink>
          </w:p>
        </w:tc>
      </w:tr>
      <w:tr>
        <w:trPr>
          <w:trHeight w:val="223"/>
        </w:trPr>
        <w:tc>
          <w:tcPr>
            <w:tcW w:w="1620" w:type="dxa"/>
            <w:vAlign w:val="bottom"/>
          </w:tcPr>
          <w:p>
            <w:pPr>
              <w:spacing w:after="0"/>
              <w:rPr>
                <w:sz w:val="19"/>
                <w:szCs w:val="19"/>
                <w:color w:val="auto"/>
              </w:rPr>
            </w:pPr>
          </w:p>
        </w:tc>
        <w:tc>
          <w:tcPr>
            <w:tcW w:w="8800" w:type="dxa"/>
            <w:vAlign w:val="bottom"/>
            <w:tcBorders>
              <w:top w:val="single" w:sz="8" w:color="0000EE"/>
            </w:tcBorders>
            <w:gridSpan w:val="11"/>
          </w:tcPr>
          <w:p>
            <w:pPr>
              <w:spacing w:after="0" w:line="223" w:lineRule="exact"/>
              <w:rPr>
                <w:rFonts w:ascii="Times New Roman" w:cs="Times New Roman" w:eastAsia="Times New Roman" w:hAnsi="Times New Roman"/>
                <w:sz w:val="22"/>
                <w:szCs w:val="22"/>
                <w:color w:val="0000EE"/>
              </w:rPr>
            </w:pPr>
            <w:hyperlink r:id="rId58">
              <w:r>
                <w:rPr>
                  <w:rFonts w:ascii="Times New Roman" w:cs="Times New Roman" w:eastAsia="Times New Roman" w:hAnsi="Times New Roman"/>
                  <w:sz w:val="22"/>
                  <w:szCs w:val="22"/>
                  <w:color w:val="0000EE"/>
                </w:rPr>
                <w:t>(incorporated by reference to Exhibit 10.1 to Form 8-K filed June 22, 2022, File No. 001-09097)</w:t>
              </w:r>
            </w:hyperlink>
          </w:p>
        </w:tc>
        <w:tc>
          <w:tcPr>
            <w:tcW w:w="600" w:type="dxa"/>
            <w:vAlign w:val="bottom"/>
            <w:gridSpan w:val="5"/>
          </w:tcPr>
          <w:p>
            <w:pPr>
              <w:spacing w:after="0"/>
              <w:rPr>
                <w:sz w:val="19"/>
                <w:szCs w:val="19"/>
                <w:color w:val="auto"/>
              </w:rPr>
            </w:pPr>
          </w:p>
        </w:tc>
        <w:tc>
          <w:tcPr>
            <w:tcW w:w="220" w:type="dxa"/>
            <w:vAlign w:val="bottom"/>
            <w:gridSpan w:val="5"/>
          </w:tcPr>
          <w:p>
            <w:pPr>
              <w:spacing w:after="0"/>
              <w:rPr>
                <w:sz w:val="19"/>
                <w:szCs w:val="19"/>
                <w:color w:val="auto"/>
              </w:rPr>
            </w:pPr>
          </w:p>
        </w:tc>
      </w:tr>
      <w:tr>
        <w:trPr>
          <w:trHeight w:val="466"/>
        </w:trPr>
        <w:tc>
          <w:tcPr>
            <w:tcW w:w="1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18*</w:t>
            </w:r>
          </w:p>
        </w:tc>
        <w:tc>
          <w:tcPr>
            <w:tcW w:w="83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22"/>
                <w:szCs w:val="22"/>
                <w:color w:val="0000EE"/>
              </w:rPr>
              <w:t>Preferability Letter from RSM US LLP</w:t>
            </w:r>
          </w:p>
        </w:tc>
        <w:tc>
          <w:tcPr>
            <w:tcW w:w="1260" w:type="dxa"/>
            <w:vAlign w:val="bottom"/>
            <w:gridSpan w:val="11"/>
          </w:tcPr>
          <w:p>
            <w:pPr>
              <w:spacing w:after="0"/>
              <w:rPr>
                <w:sz w:val="24"/>
                <w:szCs w:val="24"/>
                <w:color w:val="auto"/>
              </w:rPr>
            </w:pPr>
          </w:p>
        </w:tc>
      </w:tr>
      <w:tr>
        <w:trPr>
          <w:trHeight w:val="20"/>
        </w:trPr>
        <w:tc>
          <w:tcPr>
            <w:tcW w:w="162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466"/>
        </w:trPr>
        <w:tc>
          <w:tcPr>
            <w:tcW w:w="1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19+</w:t>
            </w:r>
          </w:p>
        </w:tc>
        <w:tc>
          <w:tcPr>
            <w:tcW w:w="9620" w:type="dxa"/>
            <w:vAlign w:val="bottom"/>
            <w:gridSpan w:val="21"/>
          </w:tcPr>
          <w:p>
            <w:pPr>
              <w:spacing w:after="0"/>
              <w:rPr>
                <w:rFonts w:ascii="Times New Roman" w:cs="Times New Roman" w:eastAsia="Times New Roman" w:hAnsi="Times New Roman"/>
                <w:sz w:val="22"/>
                <w:szCs w:val="22"/>
                <w:color w:val="0000EE"/>
              </w:rPr>
            </w:pPr>
            <w:hyperlink r:id="rId59">
              <w:r>
                <w:rPr>
                  <w:rFonts w:ascii="Times New Roman" w:cs="Times New Roman" w:eastAsia="Times New Roman" w:hAnsi="Times New Roman"/>
                  <w:sz w:val="22"/>
                  <w:szCs w:val="22"/>
                  <w:color w:val="0000EE"/>
                </w:rPr>
                <w:t>REX American Resources Corporation Revised Insider Trading Policy (incorporated by reference to Exhibit</w:t>
              </w:r>
            </w:hyperlink>
          </w:p>
        </w:tc>
      </w:tr>
      <w:tr>
        <w:trPr>
          <w:trHeight w:val="223"/>
        </w:trPr>
        <w:tc>
          <w:tcPr>
            <w:tcW w:w="1620" w:type="dxa"/>
            <w:vAlign w:val="bottom"/>
          </w:tcPr>
          <w:p>
            <w:pPr>
              <w:spacing w:after="0"/>
              <w:rPr>
                <w:sz w:val="19"/>
                <w:szCs w:val="19"/>
                <w:color w:val="auto"/>
              </w:rPr>
            </w:pPr>
          </w:p>
        </w:tc>
        <w:tc>
          <w:tcPr>
            <w:tcW w:w="5360" w:type="dxa"/>
            <w:vAlign w:val="bottom"/>
            <w:tcBorders>
              <w:top w:val="single" w:sz="8" w:color="0000EE"/>
              <w:bottom w:val="single" w:sz="8" w:color="0000EE"/>
            </w:tcBorders>
            <w:gridSpan w:val="8"/>
          </w:tcPr>
          <w:p>
            <w:pPr>
              <w:spacing w:after="0" w:line="223" w:lineRule="exact"/>
              <w:rPr>
                <w:rFonts w:ascii="Times New Roman" w:cs="Times New Roman" w:eastAsia="Times New Roman" w:hAnsi="Times New Roman"/>
                <w:sz w:val="22"/>
                <w:szCs w:val="22"/>
                <w:color w:val="0000EE"/>
                <w:w w:val="98"/>
              </w:rPr>
            </w:pPr>
            <w:hyperlink r:id="rId59">
              <w:r>
                <w:rPr>
                  <w:rFonts w:ascii="Times New Roman" w:cs="Times New Roman" w:eastAsia="Times New Roman" w:hAnsi="Times New Roman"/>
                  <w:sz w:val="22"/>
                  <w:szCs w:val="22"/>
                  <w:color w:val="0000EE"/>
                  <w:w w:val="98"/>
                </w:rPr>
                <w:t>4(a) to Form 10-K filed March 28, 2025, File No. 001-09097)</w:t>
              </w:r>
            </w:hyperlink>
          </w:p>
        </w:tc>
        <w:tc>
          <w:tcPr>
            <w:tcW w:w="4040" w:type="dxa"/>
            <w:vAlign w:val="bottom"/>
            <w:tcBorders>
              <w:top w:val="single" w:sz="8" w:color="0000EE"/>
            </w:tcBorders>
            <w:gridSpan w:val="8"/>
          </w:tcPr>
          <w:p>
            <w:pPr>
              <w:spacing w:after="0"/>
              <w:rPr>
                <w:sz w:val="19"/>
                <w:szCs w:val="19"/>
                <w:color w:val="auto"/>
              </w:rPr>
            </w:pPr>
          </w:p>
        </w:tc>
        <w:tc>
          <w:tcPr>
            <w:tcW w:w="220" w:type="dxa"/>
            <w:vAlign w:val="bottom"/>
            <w:gridSpan w:val="5"/>
          </w:tcPr>
          <w:p>
            <w:pPr>
              <w:spacing w:after="0"/>
              <w:rPr>
                <w:sz w:val="19"/>
                <w:szCs w:val="19"/>
                <w:color w:val="auto"/>
              </w:rPr>
            </w:pPr>
          </w:p>
        </w:tc>
      </w:tr>
      <w:tr>
        <w:trPr>
          <w:trHeight w:val="466"/>
        </w:trPr>
        <w:tc>
          <w:tcPr>
            <w:tcW w:w="16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w:t>
            </w:r>
          </w:p>
        </w:tc>
        <w:tc>
          <w:tcPr>
            <w:tcW w:w="34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w w:val="98"/>
              </w:rPr>
              <w:t>Rule 13a-14(a)/15d-14(a) Certifications</w:t>
            </w:r>
          </w:p>
        </w:tc>
        <w:tc>
          <w:tcPr>
            <w:tcW w:w="6160" w:type="dxa"/>
            <w:vAlign w:val="bottom"/>
            <w:gridSpan w:val="15"/>
          </w:tcPr>
          <w:p>
            <w:pPr>
              <w:spacing w:after="0"/>
              <w:rPr>
                <w:sz w:val="24"/>
                <w:szCs w:val="24"/>
                <w:color w:val="auto"/>
              </w:rPr>
            </w:pPr>
          </w:p>
        </w:tc>
      </w:tr>
      <w:tr>
        <w:trPr>
          <w:trHeight w:val="464"/>
        </w:trPr>
        <w:tc>
          <w:tcPr>
            <w:tcW w:w="1620" w:type="dxa"/>
            <w:vAlign w:val="bottom"/>
          </w:tcPr>
          <w:p>
            <w:pPr>
              <w:spacing w:after="0"/>
              <w:rPr>
                <w:sz w:val="24"/>
                <w:szCs w:val="24"/>
                <w:color w:val="auto"/>
              </w:rPr>
            </w:pPr>
          </w:p>
        </w:tc>
        <w:tc>
          <w:tcPr>
            <w:tcW w:w="5360" w:type="dxa"/>
            <w:vAlign w:val="bottom"/>
            <w:gridSpan w:val="8"/>
          </w:tcPr>
          <w:p>
            <w:pPr>
              <w:ind w:left="3900"/>
              <w:spacing w:after="0"/>
              <w:rPr>
                <w:sz w:val="20"/>
                <w:szCs w:val="20"/>
                <w:color w:val="auto"/>
              </w:rPr>
            </w:pPr>
            <w:r>
              <w:rPr>
                <w:rFonts w:ascii="Times New Roman" w:cs="Times New Roman" w:eastAsia="Times New Roman" w:hAnsi="Times New Roman"/>
                <w:sz w:val="22"/>
                <w:szCs w:val="22"/>
                <w:color w:val="auto"/>
              </w:rPr>
              <w:t>41</w:t>
            </w:r>
          </w:p>
        </w:tc>
        <w:tc>
          <w:tcPr>
            <w:tcW w:w="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162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74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5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0" w:right="339" w:bottom="1440" w:gutter="0" w:footer="0" w:header="0"/>
        </w:sectPr>
      </w:pPr>
    </w:p>
    <w:bookmarkStart w:id="41" w:name="page42"/>
    <w:bookmarkEnd w:id="41"/>
    <w:p>
      <w:pPr>
        <w:ind w:left="660"/>
        <w:spacing w:after="0"/>
        <w:tabs>
          <w:tab w:leader="none" w:pos="160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0000EE"/>
        </w:rPr>
        <w:t>Section 1350 Certifications</w:t>
      </w:r>
    </w:p>
    <w:p>
      <w:pPr>
        <w:spacing w:after="0" w:line="233" w:lineRule="exact"/>
        <w:rPr>
          <w:sz w:val="20"/>
          <w:szCs w:val="20"/>
          <w:color w:val="auto"/>
        </w:rPr>
      </w:pPr>
    </w:p>
    <w:p>
      <w:pPr>
        <w:ind w:left="660"/>
        <w:spacing w:after="0"/>
        <w:tabs>
          <w:tab w:leader="none" w:pos="1600" w:val="left"/>
        </w:tabs>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color w:val="auto"/>
        </w:rPr>
        <w:t>97+</w:t>
      </w:r>
      <w:r>
        <w:rPr>
          <w:sz w:val="20"/>
          <w:szCs w:val="20"/>
          <w:color w:val="auto"/>
        </w:rPr>
        <w:tab/>
      </w:r>
      <w:hyperlink r:id="rId60">
        <w:r>
          <w:rPr>
            <w:rFonts w:ascii="Times New Roman" w:cs="Times New Roman" w:eastAsia="Times New Roman" w:hAnsi="Times New Roman"/>
            <w:sz w:val="22"/>
            <w:szCs w:val="22"/>
            <w:u w:val="single" w:color="auto"/>
            <w:color w:val="0000EE"/>
          </w:rPr>
          <w:t>REX American Resources Corporation Compensation Recovery Policy (incorporated by reference to Exhibit</w:t>
        </w:r>
      </w:hyperlink>
    </w:p>
    <w:p>
      <w:pPr>
        <w:spacing w:after="0" w:line="14" w:lineRule="exact"/>
        <w:rPr>
          <w:sz w:val="20"/>
          <w:szCs w:val="20"/>
          <w:color w:val="auto"/>
        </w:rPr>
      </w:pPr>
    </w:p>
    <w:p>
      <w:pPr>
        <w:ind w:left="1620"/>
        <w:spacing w:after="0"/>
        <w:rPr>
          <w:rFonts w:ascii="Times New Roman" w:cs="Times New Roman" w:eastAsia="Times New Roman" w:hAnsi="Times New Roman"/>
          <w:sz w:val="22"/>
          <w:szCs w:val="22"/>
          <w:u w:val="single" w:color="auto"/>
          <w:color w:val="0000EE"/>
        </w:rPr>
      </w:pPr>
      <w:hyperlink r:id="rId60">
        <w:r>
          <w:rPr>
            <w:rFonts w:ascii="Times New Roman" w:cs="Times New Roman" w:eastAsia="Times New Roman" w:hAnsi="Times New Roman"/>
            <w:sz w:val="22"/>
            <w:szCs w:val="22"/>
            <w:u w:val="single" w:color="auto"/>
            <w:color w:val="0000EE"/>
          </w:rPr>
          <w:t>97.1 to Form 10-K filed March 29, 2024, File No. 001-09097)</w:t>
        </w:r>
      </w:hyperlink>
    </w:p>
    <w:p>
      <w:pPr>
        <w:spacing w:after="0" w:line="209" w:lineRule="exact"/>
        <w:rPr>
          <w:sz w:val="20"/>
          <w:szCs w:val="20"/>
          <w:color w:val="auto"/>
        </w:rPr>
      </w:pPr>
    </w:p>
    <w:p>
      <w:pPr>
        <w:ind w:left="1620" w:right="40" w:hanging="959"/>
        <w:spacing w:after="0" w:line="239" w:lineRule="auto"/>
        <w:tabs>
          <w:tab w:leader="none" w:pos="160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2"/>
          <w:szCs w:val="22"/>
          <w:color w:val="auto"/>
        </w:rPr>
        <w:t>The following information from REX American Resources Corporation Quarterly Report on Form 10-Q for the quarter ended April 30, 2026, formatted in iXBRL: (i) Consolidated Balance Sheets, (ii) Consolidated Statements of Operations, (iii) Consolidated Statements of Equity, (iv) Consolidated Statements of Cash Flows and (v) Notes to Consolidated Financial Statements.</w:t>
      </w:r>
    </w:p>
    <w:p>
      <w:pPr>
        <w:spacing w:after="0" w:line="207"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2"/>
          <w:szCs w:val="22"/>
          <w:color w:val="auto"/>
        </w:rPr>
        <w:t>Cover Page Interactive Data File (formatted as Inline XBRL and contained in Exhibit 101)</w:t>
      </w:r>
    </w:p>
    <w:p>
      <w:pPr>
        <w:spacing w:after="0" w:line="20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Filed herewith.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Furnished herewith.</w:t>
      </w:r>
    </w:p>
    <w:p>
      <w:pPr>
        <w:ind w:left="340" w:hanging="332"/>
        <w:spacing w:after="0" w:line="230" w:lineRule="auto"/>
        <w:tabs>
          <w:tab w:leader="none" w:pos="3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contract or compensation plans or arrangements.</w:t>
      </w:r>
    </w:p>
    <w:p>
      <w:pPr>
        <w:spacing w:after="0" w:line="1" w:lineRule="exact"/>
        <w:rPr>
          <w:sz w:val="20"/>
          <w:szCs w:val="20"/>
          <w:color w:val="auto"/>
        </w:rPr>
      </w:pPr>
    </w:p>
    <w:p>
      <w:pPr>
        <w:jc w:val="both"/>
        <w:ind w:left="340" w:hanging="332"/>
        <w:spacing w:after="0" w:line="235" w:lineRule="auto"/>
        <w:tabs>
          <w:tab w:leader="none" w:pos="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exhibit was not hyperlinked in the registrant’s Annual Report on Form 10-K filed with the SEC on March 30, 2026, and has been included in this exhibits index with the correct hyperlink in accordance with Instruction 2 to Rule 105(d) of Regulation S-T.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REX American Resources Corporation</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Registrant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center"/>
              <w:ind w:right="1200"/>
              <w:spacing w:after="0"/>
              <w:rPr>
                <w:sz w:val="20"/>
                <w:szCs w:val="20"/>
                <w:color w:val="auto"/>
              </w:rPr>
            </w:pPr>
            <w:r>
              <w:rPr>
                <w:rFonts w:ascii="Times New Roman" w:cs="Times New Roman" w:eastAsia="Times New Roman" w:hAnsi="Times New Roman"/>
                <w:sz w:val="22"/>
                <w:szCs w:val="22"/>
                <w:b w:val="1"/>
                <w:bCs w:val="1"/>
                <w:color w:val="auto"/>
                <w:w w:val="95"/>
              </w:rPr>
              <w:t>Signature</w:t>
            </w:r>
          </w:p>
        </w:tc>
        <w:tc>
          <w:tcPr>
            <w:tcW w:w="580" w:type="dxa"/>
            <w:vAlign w:val="bottom"/>
          </w:tcPr>
          <w:p>
            <w:pPr>
              <w:spacing w:after="0"/>
              <w:rPr>
                <w:sz w:val="24"/>
                <w:szCs w:val="24"/>
                <w:color w:val="auto"/>
              </w:rPr>
            </w:pPr>
          </w:p>
        </w:tc>
        <w:tc>
          <w:tcPr>
            <w:tcW w:w="39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56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r>
      <w:tr>
        <w:trPr>
          <w:trHeight w:val="440"/>
        </w:trPr>
        <w:tc>
          <w:tcPr>
            <w:tcW w:w="840" w:type="dxa"/>
            <w:vAlign w:val="bottom"/>
          </w:tcPr>
          <w:p>
            <w:pPr>
              <w:spacing w:after="0"/>
              <w:rPr>
                <w:sz w:val="24"/>
                <w:szCs w:val="24"/>
                <w:color w:val="auto"/>
              </w:rPr>
            </w:pPr>
          </w:p>
        </w:tc>
        <w:tc>
          <w:tcPr>
            <w:tcW w:w="3680" w:type="dxa"/>
            <w:vAlign w:val="bottom"/>
            <w:gridSpan w:val="5"/>
          </w:tcPr>
          <w:p>
            <w:pPr>
              <w:jc w:val="center"/>
              <w:ind w:right="1400"/>
              <w:spacing w:after="0"/>
              <w:rPr>
                <w:sz w:val="20"/>
                <w:szCs w:val="20"/>
                <w:color w:val="auto"/>
              </w:rPr>
            </w:pPr>
            <w:r>
              <w:rPr>
                <w:rFonts w:ascii="Times New Roman" w:cs="Times New Roman" w:eastAsia="Times New Roman" w:hAnsi="Times New Roman"/>
                <w:sz w:val="22"/>
                <w:szCs w:val="22"/>
                <w:color w:val="auto"/>
                <w:w w:val="98"/>
              </w:rPr>
              <w:t>/s/ Zafar A. Rizvi</w:t>
            </w:r>
          </w:p>
        </w:tc>
        <w:tc>
          <w:tcPr>
            <w:tcW w:w="4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Chief Executive Officer and President</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June 2, 2026</w:t>
            </w:r>
          </w:p>
        </w:tc>
      </w:tr>
      <w:tr>
        <w:trPr>
          <w:trHeight w:val="276"/>
        </w:trPr>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(Zafar A. Rizvi)</w:t>
            </w:r>
          </w:p>
        </w:tc>
        <w:tc>
          <w:tcPr>
            <w:tcW w:w="380" w:type="dxa"/>
            <w:vAlign w:val="bottom"/>
          </w:tcPr>
          <w:p>
            <w:pPr>
              <w:spacing w:after="0"/>
              <w:rPr>
                <w:sz w:val="23"/>
                <w:szCs w:val="23"/>
                <w:color w:val="auto"/>
              </w:rPr>
            </w:pPr>
          </w:p>
        </w:tc>
        <w:tc>
          <w:tcPr>
            <w:tcW w:w="1400" w:type="dxa"/>
            <w:vAlign w:val="bottom"/>
            <w:gridSpan w:val="2"/>
          </w:tcPr>
          <w:p>
            <w:pPr>
              <w:spacing w:after="0"/>
              <w:rPr>
                <w:sz w:val="23"/>
                <w:szCs w:val="23"/>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(Principal Executive Officer)</w:t>
            </w:r>
          </w:p>
        </w:tc>
        <w:tc>
          <w:tcPr>
            <w:tcW w:w="2240" w:type="dxa"/>
            <w:vAlign w:val="bottom"/>
          </w:tcPr>
          <w:p>
            <w:pPr>
              <w:spacing w:after="0"/>
              <w:rPr>
                <w:sz w:val="23"/>
                <w:szCs w:val="23"/>
                <w:color w:val="auto"/>
              </w:rPr>
            </w:pPr>
          </w:p>
        </w:tc>
      </w:tr>
      <w:tr>
        <w:trPr>
          <w:trHeight w:val="433"/>
        </w:trPr>
        <w:tc>
          <w:tcPr>
            <w:tcW w:w="4520" w:type="dxa"/>
            <w:vAlign w:val="bottom"/>
            <w:gridSpan w:val="6"/>
          </w:tcPr>
          <w:p>
            <w:pPr>
              <w:jc w:val="center"/>
              <w:ind w:right="560"/>
              <w:spacing w:after="0"/>
              <w:rPr>
                <w:sz w:val="20"/>
                <w:szCs w:val="20"/>
                <w:color w:val="auto"/>
              </w:rPr>
            </w:pPr>
            <w:r>
              <w:rPr>
                <w:rFonts w:ascii="Times New Roman" w:cs="Times New Roman" w:eastAsia="Times New Roman" w:hAnsi="Times New Roman"/>
                <w:sz w:val="22"/>
                <w:szCs w:val="22"/>
                <w:color w:val="auto"/>
                <w:w w:val="98"/>
              </w:rPr>
              <w:t>/s/ Douglas L. Bruggeman</w:t>
            </w:r>
          </w:p>
        </w:tc>
        <w:tc>
          <w:tcPr>
            <w:tcW w:w="4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Vice President-Finance, Chief Financial</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June 2, 2026</w:t>
            </w:r>
          </w:p>
        </w:tc>
      </w:tr>
      <w:tr>
        <w:trPr>
          <w:trHeight w:val="236"/>
        </w:trPr>
        <w:tc>
          <w:tcPr>
            <w:tcW w:w="840" w:type="dxa"/>
            <w:vAlign w:val="bottom"/>
          </w:tcPr>
          <w:p>
            <w:pPr>
              <w:spacing w:after="0"/>
              <w:rPr>
                <w:sz w:val="20"/>
                <w:szCs w:val="20"/>
                <w:color w:val="auto"/>
              </w:rPr>
            </w:pPr>
          </w:p>
        </w:tc>
        <w:tc>
          <w:tcPr>
            <w:tcW w:w="2280" w:type="dxa"/>
            <w:vAlign w:val="bottom"/>
            <w:tcBorders>
              <w:top w:val="single" w:sz="8" w:color="auto"/>
            </w:tcBorders>
            <w:gridSpan w:val="3"/>
          </w:tcPr>
          <w:p>
            <w:pPr>
              <w:jc w:val="center"/>
              <w:spacing w:after="0" w:line="236" w:lineRule="exact"/>
              <w:rPr>
                <w:sz w:val="20"/>
                <w:szCs w:val="20"/>
                <w:color w:val="auto"/>
              </w:rPr>
            </w:pPr>
            <w:r>
              <w:rPr>
                <w:rFonts w:ascii="Times New Roman" w:cs="Times New Roman" w:eastAsia="Times New Roman" w:hAnsi="Times New Roman"/>
                <w:sz w:val="22"/>
                <w:szCs w:val="22"/>
                <w:color w:val="auto"/>
                <w:w w:val="97"/>
              </w:rPr>
              <w:t>(Douglas L. Bruggeman)</w:t>
            </w:r>
          </w:p>
        </w:tc>
        <w:tc>
          <w:tcPr>
            <w:tcW w:w="1400" w:type="dxa"/>
            <w:vAlign w:val="bottom"/>
            <w:gridSpan w:val="2"/>
          </w:tcPr>
          <w:p>
            <w:pPr>
              <w:spacing w:after="0"/>
              <w:rPr>
                <w:sz w:val="20"/>
                <w:szCs w:val="20"/>
                <w:color w:val="auto"/>
              </w:rPr>
            </w:pPr>
          </w:p>
        </w:tc>
        <w:tc>
          <w:tcPr>
            <w:tcW w:w="448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Officer and Treasurer</w:t>
            </w:r>
          </w:p>
        </w:tc>
        <w:tc>
          <w:tcPr>
            <w:tcW w:w="2240" w:type="dxa"/>
            <w:vAlign w:val="bottom"/>
          </w:tcPr>
          <w:p>
            <w:pPr>
              <w:spacing w:after="0"/>
              <w:rPr>
                <w:sz w:val="20"/>
                <w:szCs w:val="20"/>
                <w:color w:val="auto"/>
              </w:rPr>
            </w:pPr>
          </w:p>
        </w:tc>
      </w:tr>
      <w:tr>
        <w:trPr>
          <w:trHeight w:val="282"/>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(Principal Financial and Accounting Officer)</w:t>
            </w:r>
          </w:p>
        </w:tc>
        <w:tc>
          <w:tcPr>
            <w:tcW w:w="224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2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43</w:t>
            </w:r>
          </w:p>
        </w:tc>
        <w:tc>
          <w:tcPr>
            <w:tcW w:w="5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8"/>
        </w:trPr>
        <w:tc>
          <w:tcPr>
            <w:tcW w:w="8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152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392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c>
          <w:tcPr>
            <w:tcW w:w="22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2"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Exhibit 18</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Preferability Letter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REX American Resources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Dayton, Ohio</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Directors: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This letter is provided for inclusion as an exhibit to REX American Resources Corporation’s (the “Company”) Quarterly Report on Form 10-Q for the period ended April 30, 2026 (the “Form 10-Q”) in accordance with Item 601 of Regulation S-K.</w:t>
      </w:r>
    </w:p>
    <w:p>
      <w:pPr>
        <w:spacing w:after="0" w:line="78"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9"/>
          <w:szCs w:val="19"/>
          <w:color w:val="auto"/>
        </w:rPr>
        <w:t>We have reviewed a copy of the Company’s Form 10-Q and the statements contained in Note 2 to the consolidated financial statements. As stated in Note 2 to those financial statements, the Company changed its method of accounting for Section 45Z clean fuel production tax credits. Management believes this newly adopted accounting principle is preferable in the circumstances because it will better align with the</w:t>
      </w:r>
    </w:p>
    <w:p>
      <w:pPr>
        <w:spacing w:after="0" w:line="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expected monetization potential of the credits and more appropriately reflect the economic substance of the clean fuel production tax credits. The Company has determined that retrospective application is required. As no Section 45Z tax credits were recorded until the fourth quarter</w:t>
      </w:r>
    </w:p>
    <w:p>
      <w:pPr>
        <w:spacing w:after="0" w:line="227" w:lineRule="auto"/>
        <w:rPr>
          <w:sz w:val="20"/>
          <w:szCs w:val="20"/>
          <w:color w:val="auto"/>
        </w:rPr>
      </w:pPr>
      <w:r>
        <w:rPr>
          <w:rFonts w:ascii="Times New Roman" w:cs="Times New Roman" w:eastAsia="Times New Roman" w:hAnsi="Times New Roman"/>
          <w:sz w:val="20"/>
          <w:szCs w:val="20"/>
          <w:color w:val="auto"/>
        </w:rPr>
        <w:t>of 2025, there is no impact to the first quarter of 2025. Additionally, because the Company does not intend to monetize the credits earned in</w:t>
      </w:r>
    </w:p>
    <w:p>
      <w:pPr>
        <w:ind w:right="40"/>
        <w:spacing w:after="0" w:line="229" w:lineRule="auto"/>
        <w:rPr>
          <w:sz w:val="20"/>
          <w:szCs w:val="20"/>
          <w:color w:val="auto"/>
        </w:rPr>
      </w:pPr>
      <w:r>
        <w:rPr>
          <w:rFonts w:ascii="Times New Roman" w:cs="Times New Roman" w:eastAsia="Times New Roman" w:hAnsi="Times New Roman"/>
          <w:sz w:val="19"/>
          <w:szCs w:val="19"/>
          <w:color w:val="auto"/>
        </w:rPr>
        <w:t>2025, the classification of such credits as a deferred tax asset remains appropriate and no retrospective balance sheet adjustments are required. In accordance with your request, we have reviewed and discussed with Company officials the circumstances and business judgment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planning upon which the decision to make this change in the method of accounting was based.</w:t>
      </w:r>
    </w:p>
    <w:p>
      <w:pPr>
        <w:spacing w:after="0" w:line="9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Regarding the accounting change, it is important to note that authoritative criteria have not been established for evaluating the preferability of one acceptable method of accounting over another acceptable method. Accordingly, in expressing our concurrence below, we have relied on management’s business planning and judgment and on management’s determination that this change in accounting principle is preferable.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Based on our review of management’s reasons and justification for this accounting change as disclosed in the Form 10-Q, and our discussions</w:t>
      </w:r>
    </w:p>
    <w:p>
      <w:pPr>
        <w:spacing w:after="0" w:line="20"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20"/>
          <w:szCs w:val="20"/>
          <w:color w:val="auto"/>
        </w:rPr>
        <w:t>with management, we concur that this change, in the Company’s circumstances, represents a change to a preferable accounting principle in conformity with Accounting Standards Codification 250, Accounting Changes and Error Corrections.</w:t>
      </w:r>
    </w:p>
    <w:p>
      <w:pPr>
        <w:spacing w:after="0" w:line="108"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9"/>
          <w:szCs w:val="19"/>
          <w:color w:val="auto"/>
        </w:rPr>
        <w:t>We have not audited the application of the accounting change, or the information set forth in Note 2 to the consolidated financial statements included in Part I of the Company’s Form 10-Q. We also have not audited any consolidated financial statements of the Company as of any</w:t>
      </w:r>
    </w:p>
    <w:p>
      <w:pPr>
        <w:spacing w:after="0" w:line="227" w:lineRule="auto"/>
        <w:rPr>
          <w:sz w:val="20"/>
          <w:szCs w:val="20"/>
          <w:color w:val="auto"/>
        </w:rPr>
      </w:pPr>
      <w:r>
        <w:rPr>
          <w:rFonts w:ascii="Times New Roman" w:cs="Times New Roman" w:eastAsia="Times New Roman" w:hAnsi="Times New Roman"/>
          <w:sz w:val="20"/>
          <w:szCs w:val="20"/>
          <w:color w:val="auto"/>
        </w:rPr>
        <w:t>date or for any period subsequent to January 31, 2026. Accordingly, we do not express an opinion on whether the accounting for the change</w:t>
      </w:r>
    </w:p>
    <w:p>
      <w:pPr>
        <w:ind w:right="480"/>
        <w:spacing w:after="0" w:line="228" w:lineRule="auto"/>
        <w:rPr>
          <w:sz w:val="20"/>
          <w:szCs w:val="20"/>
          <w:color w:val="auto"/>
        </w:rPr>
      </w:pPr>
      <w:r>
        <w:rPr>
          <w:rFonts w:ascii="Times New Roman" w:cs="Times New Roman" w:eastAsia="Times New Roman" w:hAnsi="Times New Roman"/>
          <w:sz w:val="20"/>
          <w:szCs w:val="20"/>
          <w:color w:val="auto"/>
        </w:rPr>
        <w:t>in accounting principle has been properly applied or whether the financial statements are fairly presented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RSM US LLP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 Moines, 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Zafar A. Rizvi, certify that:</w:t>
      </w:r>
    </w:p>
    <w:p>
      <w:pPr>
        <w:spacing w:after="0" w:line="225" w:lineRule="exact"/>
        <w:rPr>
          <w:sz w:val="20"/>
          <w:szCs w:val="20"/>
          <w:color w:val="auto"/>
        </w:rPr>
      </w:pPr>
    </w:p>
    <w:p>
      <w:pPr>
        <w:ind w:left="840" w:hanging="18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25"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8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2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firstLine="320"/>
        <w:spacing w:after="0" w:line="266" w:lineRule="auto"/>
        <w:tabs>
          <w:tab w:leader="none" w:pos="123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320" w:firstLine="320"/>
        <w:spacing w:after="0" w:line="282" w:lineRule="auto"/>
        <w:tabs>
          <w:tab w:leader="none" w:pos="122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3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ind w:left="-656" w:firstLine="656"/>
        <w:spacing w:after="0" w:line="282" w:lineRule="auto"/>
        <w:tabs>
          <w:tab w:leader="none" w:pos="1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440" w:firstLine="320"/>
        <w:spacing w:after="0" w:line="282" w:lineRule="auto"/>
        <w:tabs>
          <w:tab w:leader="none" w:pos="5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20" w:firstLine="320"/>
        <w:spacing w:after="0" w:line="282" w:lineRule="auto"/>
        <w:tabs>
          <w:tab w:leader="none" w:pos="58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25"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142875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45" w:right="439" w:bottom="1440" w:gutter="0" w:footer="0" w:header="0"/>
        </w:sectPr>
      </w:pPr>
    </w:p>
    <w:bookmarkStart w:id="46" w:name="page47"/>
    <w:bookmarkEnd w:id="4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L. Bruggeman, certify that:</w:t>
      </w:r>
    </w:p>
    <w:p>
      <w:pPr>
        <w:spacing w:after="0" w:line="225" w:lineRule="exact"/>
        <w:rPr>
          <w:sz w:val="20"/>
          <w:szCs w:val="20"/>
          <w:color w:val="auto"/>
        </w:rPr>
      </w:pPr>
    </w:p>
    <w:p>
      <w:pPr>
        <w:ind w:left="840" w:hanging="18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25"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656"/>
        <w:spacing w:after="0" w:line="282"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2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firstLine="320"/>
        <w:spacing w:after="0" w:line="266" w:lineRule="auto"/>
        <w:tabs>
          <w:tab w:leader="none" w:pos="12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firstLine="320"/>
        <w:spacing w:after="0" w:line="282" w:lineRule="auto"/>
        <w:tabs>
          <w:tab w:leader="none" w:pos="122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47" w:name="page48"/>
    <w:bookmarkEnd w:id="47"/>
    <w:p>
      <w:pPr>
        <w:ind w:left="-656" w:firstLine="656"/>
        <w:spacing w:after="0" w:line="282" w:lineRule="auto"/>
        <w:tabs>
          <w:tab w:leader="none" w:pos="1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460" w:firstLine="320"/>
        <w:spacing w:after="0" w:line="282" w:lineRule="auto"/>
        <w:tabs>
          <w:tab w:leader="none" w:pos="57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40" w:firstLine="320"/>
        <w:spacing w:after="0" w:line="282" w:lineRule="auto"/>
        <w:tabs>
          <w:tab w:leader="none" w:pos="5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25"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142875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45" w:right="4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undersigned officers of REX American Resources Corporation (the “Company”) hereby certify, to their knowledge, that the Company’s Quarterly Report on Form 10-Q for the period ended April 30, 2026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5"/>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51" Type="http://schemas.openxmlformats.org/officeDocument/2006/relationships/hyperlink" Target="https://www.sec.gov/Archives/edgar/data/744187/000093041310004768/c62728_ex3-a.htm" TargetMode="External"/><Relationship Id="rId52" Type="http://schemas.openxmlformats.org/officeDocument/2006/relationships/hyperlink" Target="https://www.sec.gov/Archives/edgar/data/744187/000093041324002264/c109730_ex99-3ii.htm" TargetMode="External"/><Relationship Id="rId53" Type="http://schemas.openxmlformats.org/officeDocument/2006/relationships/hyperlink" Target="https://www.sec.gov/Archives/edgar/data/744187/000093041320000944/c95495_4a.htm" TargetMode="External"/><Relationship Id="rId54" Type="http://schemas.openxmlformats.org/officeDocument/2006/relationships/hyperlink" Target="https://www.sec.gov/Archives/edgar/data/744187/000093041322001116/c103822_ex10-1.htm" TargetMode="External"/><Relationship Id="rId55" Type="http://schemas.openxmlformats.org/officeDocument/2006/relationships/hyperlink" Target="https://www.sec.gov/Archives/edgar/data/744187/000093041322001116/c103822_ex10-2.htm" TargetMode="External"/><Relationship Id="rId56" Type="http://schemas.openxmlformats.org/officeDocument/2006/relationships/hyperlink" Target="https://www.sec.gov/Archives/edgar/data/744187/000093041322001116/c103822_ex10-3.htm" TargetMode="External"/><Relationship Id="rId57" Type="http://schemas.openxmlformats.org/officeDocument/2006/relationships/hyperlink" Target="https://www.sec.gov/Archives/edgar/data/744187/000093041315002774/c81598_ex10d.htm" TargetMode="External"/><Relationship Id="rId58" Type="http://schemas.openxmlformats.org/officeDocument/2006/relationships/hyperlink" Target="https://www.sec.gov/Archives/edgar/data/744187/000093041322001197/c104000_ex10-1.htm" TargetMode="External"/><Relationship Id="rId59" Type="http://schemas.openxmlformats.org/officeDocument/2006/relationships/hyperlink" Target="https://www.sec.gov/Archives/edgar/data/744187/000093041325001069/c112133_ex19.htm" TargetMode="External"/><Relationship Id="rId60" Type="http://schemas.openxmlformats.org/officeDocument/2006/relationships/hyperlink" Target="https://www.sec.gov/Archives/edgar/data/744187/000093041324001186/c108550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2026-06-02T13:49:47Z</dcterms:created>
  <dcterms:modified xsi:type="dcterms:W3CDTF">2026-06-02T13:49:47Z</dcterms:modified>
</cp:coreProperties>
</file>