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760" w:hanging="332"/>
        <w:spacing w:after="0" w:line="263"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34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1715770</wp:posOffset>
            </wp:positionH>
            <wp:positionV relativeFrom="paragraph">
              <wp:posOffset>-5080</wp:posOffset>
            </wp:positionV>
            <wp:extent cx="1180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6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31-1095548</w:t>
            </w:r>
          </w:p>
        </w:tc>
      </w:tr>
      <w:tr>
        <w:trPr>
          <w:trHeight w:val="216"/>
        </w:trPr>
        <w:tc>
          <w:tcPr>
            <w:tcW w:w="46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6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6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6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tc>
        <w:tc>
          <w:tcPr>
            <w:tcW w:w="3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45459</w:t>
            </w:r>
          </w:p>
        </w:tc>
      </w:tr>
      <w:tr>
        <w:trPr>
          <w:trHeight w:val="238"/>
        </w:trPr>
        <w:tc>
          <w:tcPr>
            <w:tcW w:w="46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509"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840"/>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380"/>
        <w:spacing w:after="0"/>
        <w:tabs>
          <w:tab w:leader="none" w:pos="450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142875</wp:posOffset>
            </wp:positionV>
            <wp:extent cx="214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840" w:space="720"/>
            <w:col w:w="7680"/>
          </w:cols>
          <w:pgMar w:left="320" w:top="509" w:right="339" w:bottom="1440" w:gutter="0" w:footer="0" w:header="0"/>
          <w:type w:val="continuous"/>
        </w:sectPr>
      </w:pPr>
    </w:p>
    <w:p>
      <w:pPr>
        <w:spacing w:after="0" w:line="25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type w:val="continuous"/>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00" w:space="720"/>
            <w:col w:w="3920"/>
          </w:cols>
          <w:pgMar w:left="320" w:top="50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June 3, 2025, the registrant had 16,468,859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60" w:type="dxa"/>
            <w:vAlign w:val="bottom"/>
            <w:gridSpan w:val="15"/>
          </w:tcPr>
          <w:p>
            <w:pPr>
              <w:jc w:val="center"/>
              <w:ind w:right="70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gridSpan w:val="4"/>
          </w:tcPr>
          <w:p>
            <w:pPr>
              <w:jc w:val="center"/>
              <w:ind w:right="342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3"/>
        </w:trPr>
        <w:tc>
          <w:tcPr>
            <w:tcW w:w="102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14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34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84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4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rPr>
              <w:t>Item 2.</w:t>
            </w:r>
          </w:p>
        </w:tc>
        <w:tc>
          <w:tcPr>
            <w:tcW w:w="240" w:type="dxa"/>
            <w:vAlign w:val="bottom"/>
            <w:gridSpan w:val="2"/>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60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58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240" w:type="dxa"/>
            <w:vAlign w:val="bottom"/>
            <w:gridSpan w:val="2"/>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5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w w:val="97"/>
              </w:rPr>
              <w:t>Unregistered Sales of Equity Securities and Use of Proceeds</w:t>
            </w:r>
          </w:p>
        </w:tc>
        <w:tc>
          <w:tcPr>
            <w:tcW w:w="362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610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40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72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317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10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tc>
        <w:tc>
          <w:tcPr>
            <w:tcW w:w="9100" w:type="dxa"/>
            <w:vAlign w:val="bottom"/>
          </w:tcPr>
          <w:p>
            <w:pPr>
              <w:spacing w:after="0"/>
              <w:rPr>
                <w:sz w:val="24"/>
                <w:szCs w:val="24"/>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REX/the Company</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REX American Resources Corporation, and its majority and wholly owned subsidiaries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NuGen</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NuGen Energy, LLC – REX owns 99.7%</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One Earth</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One Earth Energy, LLC and subsidiaries – REX owns 75.9%</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Big River</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Big River, LLC, and subsidiaries – REX owns 10.3%</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Terms:</w:t>
            </w:r>
          </w:p>
        </w:tc>
        <w:tc>
          <w:tcPr>
            <w:tcW w:w="9100" w:type="dxa"/>
            <w:vAlign w:val="bottom"/>
          </w:tcPr>
          <w:p>
            <w:pPr>
              <w:spacing w:after="0"/>
              <w:rPr>
                <w:sz w:val="24"/>
                <w:szCs w:val="24"/>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Carbon Intensity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CSA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Climate-smart Agriculture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E-10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Gasoline blended with up to 10% ethanol by volume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E-15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Gasoline blended with up to 15% ethanol by volume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IRC</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Revenue Code § 41 - Credit for Increasing Research Activities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45/Section 45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Revenue Code § 45 - Electricity Produced from Certain Renewable Resources, etc.</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PHMSA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RFS II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Renewable Fuel Standard II</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RIN(s)</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Renewable Identification Number(s)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RVOs</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Renewable Volume Obligations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Section 45Q/45Q</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45Q of the Internal Revenue Code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Section 45Z/45Z</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45Z of the Internal Revenue Code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Illinois Senate Bill</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SRE(s)</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 Refinery Exemption(s)</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USDA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General Business Terms:</w:t>
            </w:r>
          </w:p>
        </w:tc>
      </w:tr>
      <w:tr>
        <w:trPr>
          <w:trHeight w:val="41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280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815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820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TSR</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444"/>
        </w:trPr>
        <w:tc>
          <w:tcPr>
            <w:tcW w:w="2140" w:type="dxa"/>
            <w:vAlign w:val="bottom"/>
          </w:tcPr>
          <w:p>
            <w:pPr>
              <w:spacing w:after="0"/>
              <w:rPr>
                <w:sz w:val="24"/>
                <w:szCs w:val="24"/>
                <w:color w:val="auto"/>
              </w:rPr>
            </w:pPr>
          </w:p>
        </w:tc>
        <w:tc>
          <w:tcPr>
            <w:tcW w:w="9100" w:type="dxa"/>
            <w:vAlign w:val="bottom"/>
          </w:tcPr>
          <w:p>
            <w:pPr>
              <w:ind w:left="3440"/>
              <w:spacing w:after="0"/>
              <w:rPr>
                <w:sz w:val="20"/>
                <w:szCs w:val="20"/>
                <w:color w:val="auto"/>
              </w:rPr>
            </w:pPr>
            <w:r>
              <w:rPr>
                <w:rFonts w:ascii="Times New Roman" w:cs="Times New Roman" w:eastAsia="Times New Roman" w:hAnsi="Times New Roman"/>
                <w:sz w:val="22"/>
                <w:szCs w:val="22"/>
                <w:color w:val="auto"/>
              </w:rPr>
              <w:t>3</w:t>
            </w:r>
          </w:p>
        </w:tc>
      </w:tr>
      <w:tr>
        <w:trPr>
          <w:trHeight w:val="238"/>
        </w:trPr>
        <w:tc>
          <w:tcPr>
            <w:tcW w:w="2140" w:type="dxa"/>
            <w:vAlign w:val="bottom"/>
            <w:tcBorders>
              <w:bottom w:val="single" w:sz="8" w:color="C0C0C0"/>
            </w:tcBorders>
          </w:tcPr>
          <w:p>
            <w:pPr>
              <w:spacing w:after="0"/>
              <w:rPr>
                <w:sz w:val="20"/>
                <w:szCs w:val="20"/>
                <w:color w:val="auto"/>
              </w:rPr>
            </w:pPr>
          </w:p>
        </w:tc>
        <w:tc>
          <w:tcPr>
            <w:tcW w:w="9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159,913</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196,255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27,976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21,511</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31,676</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7,360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398,767</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435,819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215,605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210,683</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22,600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20,985</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16,721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693,840</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$2.2 million and $1.4 million with related parties at April 30, 2025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31, 2025, respectively)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6,683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14,392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42,575</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16,129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4,613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6,532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768,606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759,928</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(239,055)</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(206,360)</w:t>
            </w:r>
          </w:p>
        </w:tc>
        <w:tc>
          <w:tcPr>
            <w:tcW w:w="0" w:type="dxa"/>
            <w:vAlign w:val="bottom"/>
          </w:tcPr>
          <w:p>
            <w:pPr>
              <w:spacing w:after="0"/>
              <w:rPr>
                <w:sz w:val="1"/>
                <w:szCs w:val="1"/>
                <w:color w:val="auto"/>
              </w:rPr>
            </w:pPr>
          </w:p>
        </w:tc>
      </w:tr>
      <w:tr>
        <w:trPr>
          <w:trHeight w:val="21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83,254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619,636</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643,602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693,840</w:t>
            </w:r>
          </w:p>
        </w:tc>
        <w:tc>
          <w:tcPr>
            <w:tcW w:w="2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ind w:right="552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56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158,340</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161,231</w:t>
            </w:r>
          </w:p>
        </w:tc>
        <w:tc>
          <w:tcPr>
            <w:tcW w:w="0" w:type="dxa"/>
            <w:vAlign w:val="bottom"/>
          </w:tcPr>
          <w:p>
            <w:pPr>
              <w:spacing w:after="0"/>
              <w:rPr>
                <w:sz w:val="1"/>
                <w:szCs w:val="1"/>
                <w:color w:val="auto"/>
              </w:rPr>
            </w:pPr>
          </w:p>
        </w:tc>
      </w:tr>
      <w:tr>
        <w:trPr>
          <w:trHeight w:val="198"/>
        </w:trPr>
        <w:tc>
          <w:tcPr>
            <w:tcW w:w="8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$24,849 and $30,647 with related parties for the three months ended April 30, 2025 and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143,998</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146,780</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14,342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4,222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13,626</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10,672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(1,994)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09"/>
        </w:trPr>
        <w:tc>
          <w:tcPr>
            <w:tcW w:w="83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3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16,939</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83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16,939</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56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83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tc>
        <w:tc>
          <w:tcPr>
            <w:tcW w:w="3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19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7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2025</w:t>
            </w:r>
          </w:p>
        </w:tc>
        <w:tc>
          <w:tcPr>
            <w:tcW w:w="84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20" w:type="dxa"/>
            <w:vAlign w:val="bottom"/>
            <w:tcBorders>
              <w:right w:val="single" w:sz="8" w:color="E5FFFF"/>
            </w:tcBorders>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12,659</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(206,360)</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6,470</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759,928</w:t>
            </w:r>
          </w:p>
        </w:tc>
        <w:tc>
          <w:tcPr>
            <w:tcW w:w="36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83,265</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643,602</w:t>
            </w:r>
          </w:p>
        </w:tc>
        <w:tc>
          <w:tcPr>
            <w:tcW w:w="0" w:type="dxa"/>
            <w:vAlign w:val="bottom"/>
          </w:tcPr>
          <w:p>
            <w:pPr>
              <w:spacing w:after="0"/>
              <w:rPr>
                <w:sz w:val="1"/>
                <w:szCs w:val="1"/>
                <w:color w:val="auto"/>
              </w:rPr>
            </w:pPr>
          </w:p>
        </w:tc>
      </w:tr>
      <w:tr>
        <w:trPr>
          <w:trHeight w:val="314"/>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8,678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1,994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10,672</w:t>
            </w:r>
          </w:p>
        </w:tc>
        <w:tc>
          <w:tcPr>
            <w:tcW w:w="0" w:type="dxa"/>
            <w:vAlign w:val="bottom"/>
          </w:tcPr>
          <w:p>
            <w:pPr>
              <w:spacing w:after="0"/>
              <w:rPr>
                <w:sz w:val="1"/>
                <w:szCs w:val="1"/>
                <w:color w:val="auto"/>
              </w:rPr>
            </w:pPr>
          </w:p>
        </w:tc>
      </w:tr>
      <w:tr>
        <w:trPr>
          <w:trHeight w:val="132"/>
        </w:trPr>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(32,727)</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(32,727)</w:t>
            </w:r>
          </w:p>
        </w:tc>
        <w:tc>
          <w:tcPr>
            <w:tcW w:w="0" w:type="dxa"/>
            <w:vAlign w:val="bottom"/>
          </w:tcPr>
          <w:p>
            <w:pPr>
              <w:spacing w:after="0"/>
              <w:rPr>
                <w:sz w:val="1"/>
                <w:szCs w:val="1"/>
                <w:color w:val="auto"/>
              </w:rPr>
            </w:pPr>
          </w:p>
        </w:tc>
      </w:tr>
      <w:tr>
        <w:trPr>
          <w:trHeight w:val="314"/>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(2,005)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220" w:type="dxa"/>
            <w:vAlign w:val="bottom"/>
            <w:tcBorders>
              <w:right w:val="single" w:sz="8" w:color="E5FFFF"/>
            </w:tcBorders>
            <w:shd w:val="clear" w:color="auto" w:fill="E5FFFF"/>
          </w:tcPr>
          <w:p>
            <w:pPr>
              <w:spacing w:after="0"/>
              <w:rPr>
                <w:sz w:val="10"/>
                <w:szCs w:val="10"/>
                <w:color w:val="auto"/>
              </w:rPr>
            </w:pPr>
          </w:p>
        </w:tc>
        <w:tc>
          <w:tcPr>
            <w:tcW w:w="60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5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2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E5FFFF"/>
            </w:tcBorders>
            <w:shd w:val="clear" w:color="auto" w:fill="E5FFFF"/>
          </w:tcPr>
          <w:p>
            <w:pPr>
              <w:spacing w:after="0"/>
              <w:rPr>
                <w:sz w:val="16"/>
                <w:szCs w:val="16"/>
                <w:color w:val="auto"/>
              </w:rPr>
            </w:pPr>
          </w:p>
        </w:tc>
        <w:tc>
          <w:tcPr>
            <w:tcW w:w="9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E5FFFF"/>
          </w:tcPr>
          <w:p>
            <w:pPr>
              <w:spacing w:after="0"/>
              <w:rPr>
                <w:sz w:val="16"/>
                <w:szCs w:val="16"/>
                <w:color w:val="auto"/>
              </w:rPr>
            </w:pPr>
          </w:p>
        </w:tc>
        <w:tc>
          <w:tcPr>
            <w:tcW w:w="6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April 30, 2025</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40" w:type="dxa"/>
            <w:vAlign w:val="bottom"/>
            <w:vMerge w:val="continue"/>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29,853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13,381</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(239,055)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6,532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768,606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83,254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619,636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84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20" w:type="dxa"/>
            <w:vAlign w:val="bottom"/>
            <w:tcBorders>
              <w:right w:val="single" w:sz="8" w:color="E5FFFF"/>
            </w:tcBorders>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(191,911)</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701,761</w:t>
            </w:r>
          </w:p>
        </w:tc>
        <w:tc>
          <w:tcPr>
            <w:tcW w:w="36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587,597</w:t>
            </w:r>
          </w:p>
        </w:tc>
        <w:tc>
          <w:tcPr>
            <w:tcW w:w="0" w:type="dxa"/>
            <w:vAlign w:val="bottom"/>
          </w:tcPr>
          <w:p>
            <w:pPr>
              <w:spacing w:after="0"/>
              <w:rPr>
                <w:sz w:val="1"/>
                <w:szCs w:val="1"/>
                <w:color w:val="auto"/>
              </w:rPr>
            </w:pPr>
          </w:p>
        </w:tc>
      </w:tr>
      <w:tr>
        <w:trPr>
          <w:trHeight w:val="314"/>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10,191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2,082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32"/>
        </w:trPr>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274"/>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April 30, 2024</w:t>
            </w:r>
          </w:p>
        </w:tc>
        <w:tc>
          <w:tcPr>
            <w:tcW w:w="8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29,853</w:t>
            </w:r>
          </w:p>
        </w:tc>
        <w:tc>
          <w:tcPr>
            <w:tcW w:w="22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(191,848)</w:t>
            </w:r>
          </w:p>
        </w:tc>
        <w:tc>
          <w:tcPr>
            <w:tcW w:w="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4,064</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711,952</w:t>
            </w:r>
          </w:p>
        </w:tc>
        <w:tc>
          <w:tcPr>
            <w:tcW w:w="360" w:type="dxa"/>
            <w:vAlign w:val="bottom"/>
            <w:gridSpan w:val="2"/>
            <w:shd w:val="clear" w:color="auto" w:fill="E5FF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73,932</w:t>
            </w:r>
          </w:p>
        </w:tc>
        <w:tc>
          <w:tcPr>
            <w:tcW w:w="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598,399</w:t>
            </w:r>
          </w:p>
        </w:tc>
        <w:tc>
          <w:tcPr>
            <w:tcW w:w="0" w:type="dxa"/>
            <w:vAlign w:val="bottom"/>
          </w:tcPr>
          <w:p>
            <w:pPr>
              <w:spacing w:after="0"/>
              <w:rPr>
                <w:sz w:val="1"/>
                <w:szCs w:val="1"/>
                <w:color w:val="auto"/>
              </w:rPr>
            </w:pPr>
          </w:p>
        </w:tc>
      </w:tr>
      <w:tr>
        <w:trPr>
          <w:trHeight w:val="20"/>
        </w:trPr>
        <w:tc>
          <w:tcPr>
            <w:tcW w:w="32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Borders>
              <w:bottom w:val="single" w:sz="8" w:color="E5FFFF"/>
            </w:tcBorders>
          </w:tcPr>
          <w:p>
            <w:pPr>
              <w:spacing w:after="0"/>
              <w:rPr>
                <w:sz w:val="20"/>
                <w:szCs w:val="20"/>
                <w:color w:val="auto"/>
              </w:rPr>
            </w:pPr>
          </w:p>
        </w:tc>
        <w:tc>
          <w:tcPr>
            <w:tcW w:w="134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3,467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1,707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(6,465)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(8,852)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tcBorders>
              <w:bottom w:val="single" w:sz="8" w:color="E5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4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(6,900)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(41,419)</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(84,978)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121,490</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tcBorders>
              <w:bottom w:val="single" w:sz="8" w:color="E5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4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(32,670)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(36,342)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196,255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223,397</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231,200</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 – Accrued capital expenditures</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197"/>
        </w:trPr>
        <w:tc>
          <w:tcPr>
            <w:tcW w:w="7320" w:type="dxa"/>
            <w:vAlign w:val="bottom"/>
            <w:tcBorders>
              <w:top w:val="single" w:sz="8" w:color="E5FFFF"/>
              <w:bottom w:val="single" w:sz="8" w:color="E5FFFF"/>
            </w:tcBorders>
            <w:shd w:val="clear" w:color="auto" w:fill="E5FFFF"/>
          </w:tcPr>
          <w:p>
            <w:pPr>
              <w:spacing w:after="0" w:line="196" w:lineRule="exact"/>
              <w:rPr>
                <w:sz w:val="20"/>
                <w:szCs w:val="20"/>
                <w:color w:val="auto"/>
              </w:rPr>
            </w:pPr>
            <w:r>
              <w:rPr>
                <w:rFonts w:ascii="Times New Roman" w:cs="Times New Roman" w:eastAsia="Times New Roman" w:hAnsi="Times New Roman"/>
                <w:sz w:val="18"/>
                <w:szCs w:val="18"/>
                <w:color w:val="auto"/>
              </w:rPr>
              <w:t>Non-cash investing activities – Capital additions transferred from prepaid expense</w:t>
            </w:r>
          </w:p>
        </w:tc>
        <w:tc>
          <w:tcPr>
            <w:tcW w:w="13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Stock awards accrued</w:t>
            </w:r>
          </w:p>
        </w:tc>
        <w:tc>
          <w:tcPr>
            <w:tcW w:w="1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E5FFFF"/>
            </w:tcBorders>
            <w:vMerge w:val="continue"/>
          </w:tcPr>
          <w:p>
            <w:pPr>
              <w:spacing w:after="0"/>
              <w:rPr>
                <w:sz w:val="20"/>
                <w:szCs w:val="20"/>
                <w:color w:val="auto"/>
              </w:rPr>
            </w:pPr>
          </w:p>
        </w:tc>
        <w:tc>
          <w:tcPr>
            <w:tcW w:w="134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46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E5FFFF"/>
            </w:tcBorders>
            <w:shd w:val="clear" w:color="auto" w:fill="E5FFFF"/>
          </w:tcPr>
          <w:p>
            <w:pPr>
              <w:spacing w:after="0" w:line="196" w:lineRule="exact"/>
              <w:rPr>
                <w:sz w:val="20"/>
                <w:szCs w:val="20"/>
                <w:color w:val="auto"/>
              </w:rPr>
            </w:pPr>
            <w:r>
              <w:rPr>
                <w:rFonts w:ascii="Times New Roman" w:cs="Times New Roman" w:eastAsia="Times New Roman" w:hAnsi="Times New Roman"/>
                <w:sz w:val="18"/>
                <w:szCs w:val="18"/>
                <w:color w:val="auto"/>
              </w:rPr>
              <w:t>Non-cash financing activities – Stock repurchases accrued</w:t>
            </w:r>
          </w:p>
        </w:tc>
        <w:tc>
          <w:tcPr>
            <w:tcW w:w="1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w:t>
            </w:r>
          </w:p>
        </w:tc>
        <w:tc>
          <w:tcPr>
            <w:tcW w:w="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Excise tax on stock repurchases accrued</w:t>
            </w:r>
          </w:p>
        </w:tc>
        <w:tc>
          <w:tcPr>
            <w:tcW w:w="1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E5FFFF"/>
            </w:tcBorders>
            <w:vMerge w:val="continue"/>
          </w:tcPr>
          <w:p>
            <w:pPr>
              <w:spacing w:after="0"/>
              <w:rPr>
                <w:sz w:val="20"/>
                <w:szCs w:val="20"/>
                <w:color w:val="auto"/>
              </w:rPr>
            </w:pPr>
          </w:p>
        </w:tc>
        <w:tc>
          <w:tcPr>
            <w:tcW w:w="134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261</w:t>
            </w:r>
          </w:p>
        </w:tc>
        <w:tc>
          <w:tcPr>
            <w:tcW w:w="46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E5FFFF"/>
            </w:tcBorders>
            <w:shd w:val="clear" w:color="auto" w:fill="E5FFFF"/>
          </w:tcPr>
          <w:p>
            <w:pPr>
              <w:spacing w:after="0" w:line="196" w:lineRule="exact"/>
              <w:rPr>
                <w:sz w:val="20"/>
                <w:szCs w:val="20"/>
                <w:color w:val="auto"/>
              </w:rPr>
            </w:pPr>
            <w:r>
              <w:rPr>
                <w:rFonts w:ascii="Times New Roman" w:cs="Times New Roman" w:eastAsia="Times New Roman" w:hAnsi="Times New Roman"/>
                <w:sz w:val="18"/>
                <w:szCs w:val="18"/>
                <w:color w:val="auto"/>
              </w:rPr>
              <w:t>Prepaid lease payment, prior to lease commencement</w:t>
            </w:r>
          </w:p>
        </w:tc>
        <w:tc>
          <w:tcPr>
            <w:tcW w:w="1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right-of-use assets acquired and liabilities incurred upon lease execution</w:t>
            </w:r>
          </w:p>
        </w:tc>
        <w:tc>
          <w:tcPr>
            <w:tcW w:w="1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E5FFFF"/>
            </w:tcBorders>
            <w:vMerge w:val="continue"/>
          </w:tcPr>
          <w:p>
            <w:pPr>
              <w:spacing w:after="0"/>
              <w:rPr>
                <w:sz w:val="20"/>
                <w:szCs w:val="20"/>
                <w:color w:val="auto"/>
              </w:rPr>
            </w:pPr>
          </w:p>
        </w:tc>
        <w:tc>
          <w:tcPr>
            <w:tcW w:w="134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3,007</w:t>
            </w:r>
          </w:p>
        </w:tc>
        <w:tc>
          <w:tcPr>
            <w:tcW w:w="46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E5FFFF"/>
            </w:tcBorders>
            <w:shd w:val="clear" w:color="auto" w:fill="E5FFFF"/>
          </w:tcPr>
          <w:p>
            <w:pPr>
              <w:spacing w:after="0" w:line="196" w:lineRule="exact"/>
              <w:rPr>
                <w:sz w:val="20"/>
                <w:szCs w:val="20"/>
                <w:color w:val="auto"/>
              </w:rPr>
            </w:pPr>
            <w:r>
              <w:rPr>
                <w:rFonts w:ascii="Times New Roman" w:cs="Times New Roman" w:eastAsia="Times New Roman" w:hAnsi="Times New Roman"/>
                <w:sz w:val="18"/>
                <w:szCs w:val="18"/>
                <w:color w:val="auto"/>
              </w:rPr>
              <w:t>Finance right-of-use assets acquired and liabilities incurred upon lease execution</w:t>
            </w:r>
          </w:p>
        </w:tc>
        <w:tc>
          <w:tcPr>
            <w:tcW w:w="1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3,381</w:t>
            </w:r>
          </w:p>
        </w:tc>
        <w:tc>
          <w:tcPr>
            <w:tcW w:w="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April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2025 included in these financial statements has been derived from the audited consolidated financial statements included in the Company’s Annual Report on Form 10-K for the year ended January 31, 2025 (fiscal year 2024). These unaudited consolidated financial statements should be read in conjunction with the consolidated financial statements and the notes thereto included in the Company’s Annual Report on Form 10-K for the year ended January 31, 2025. The results of operations for the interim periods are not necessarily indicative of the results to be expected for the year.</w:t>
      </w:r>
    </w:p>
    <w:p>
      <w:pPr>
        <w:spacing w:after="0" w:line="200"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in its Consolidated Statements of Operations on a delayed basis of one month as One Earth has a fiscal year end of December 31.</w:t>
      </w:r>
    </w:p>
    <w:p>
      <w:pPr>
        <w:spacing w:after="0" w:line="2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8"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2024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8" w:name="page9"/>
    <w:bookmarkEnd w:id="8"/>
    <w:p>
      <w:pPr>
        <w:ind w:right="280"/>
        <w:spacing w:after="0" w:line="244" w:lineRule="auto"/>
        <w:rPr>
          <w:sz w:val="20"/>
          <w:szCs w:val="20"/>
          <w:color w:val="auto"/>
        </w:rPr>
      </w:pPr>
      <w:r>
        <w:rPr>
          <w:rFonts w:ascii="Times New Roman" w:cs="Times New Roman" w:eastAsia="Times New Roman" w:hAnsi="Times New Roman"/>
          <w:sz w:val="22"/>
          <w:szCs w:val="22"/>
          <w:color w:val="auto"/>
        </w:rPr>
        <w:t>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Expenses</w:t>
      </w:r>
    </w:p>
    <w:p>
      <w:pPr>
        <w:spacing w:after="0" w:line="23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Certain of the forward corn and natural gas purchase contracts and ethanol, distillers grains and distillers corn oil sale contracts are accounted for under the “normal purchases and normal sales” scope exemption of ASC 815 because these arrangements are for purchases of corn that will be delivered in quantities expected to be used by the Company and sales of ethanol, distillers grains and distillers corn oil in quantities expected to be produced by the Company over a reasonable period of time in the normal course of business.</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9" w:name="page10"/>
    <w:bookmarkEnd w:id="9"/>
    <w:p>
      <w:pPr>
        <w:ind w:right="340"/>
        <w:spacing w:after="0" w:line="235" w:lineRule="auto"/>
        <w:rPr>
          <w:sz w:val="20"/>
          <w:szCs w:val="20"/>
          <w:color w:val="auto"/>
        </w:rPr>
      </w:pPr>
      <w:r>
        <w:rPr>
          <w:rFonts w:ascii="Times New Roman" w:cs="Times New Roman" w:eastAsia="Times New Roman" w:hAnsi="Times New Roman"/>
          <w:sz w:val="22"/>
          <w:szCs w:val="22"/>
          <w:color w:val="auto"/>
        </w:rPr>
        <w:t>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$1.9 million and $0.1 million and received no refunds during the three months ended April 30, 2025 and 2024, respectively.</w:t>
      </w:r>
    </w:p>
    <w:p>
      <w:pPr>
        <w:spacing w:after="0" w:line="21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1"/>
          <w:szCs w:val="21"/>
          <w:color w:val="auto"/>
        </w:rPr>
        <w:t>As of April 30, 2025, and January 31, 2025, total unrecognized tax benefits were approximately $18.9 million. Accrued penalties and interest were approximately $105,000 and approximately $99,000 at April 30, 2025 and January 31, 2025,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April 30, 2025. The Company recorded approximately $0.1 million of inventory write-downs in cost of sales at January 31, 2025. Fluctuations in the write-down of inventory generally relate to the levels and composition of such inventory and changes in commodity prices at a given point in time.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21"/>
          <w:szCs w:val="21"/>
          <w:color w:val="auto"/>
        </w:rPr>
        <w:t>The components of inventory are as follows as of the dates presented (amounts in thousands):</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120"/>
        <w:spacing w:after="0" w:line="241" w:lineRule="auto"/>
        <w:rPr>
          <w:sz w:val="20"/>
          <w:szCs w:val="20"/>
          <w:color w:val="auto"/>
        </w:rPr>
      </w:pPr>
      <w:r>
        <w:rPr>
          <w:rFonts w:ascii="Times New Roman" w:cs="Times New Roman" w:eastAsia="Times New Roman" w:hAnsi="Times New Roman"/>
          <w:sz w:val="22"/>
          <w:szCs w:val="22"/>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46291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0" cy="154305"/>
                    </a:xfrm>
                    <a:prstGeom prst="rect">
                      <a:avLst/>
                    </a:prstGeom>
                    <a:noFill/>
                  </pic:spPr>
                </pic:pic>
              </a:graphicData>
            </a:graphic>
          </wp:anchor>
        </w:drawing>
      </w:r>
    </w:p>
    <w:p>
      <w:pPr>
        <w:ind w:right="1460"/>
        <w:spacing w:after="0" w:line="248" w:lineRule="auto"/>
        <w:rPr>
          <w:sz w:val="20"/>
          <w:szCs w:val="20"/>
          <w:color w:val="auto"/>
        </w:rPr>
      </w:pPr>
      <w:r>
        <w:rPr>
          <w:rFonts w:ascii="Times New Roman" w:cs="Times New Roman" w:eastAsia="Times New Roman" w:hAnsi="Times New Roman"/>
          <w:sz w:val="22"/>
          <w:szCs w:val="22"/>
          <w:color w:val="auto"/>
        </w:rPr>
        <w:t>Corn and other raw materials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46291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9150" cy="16319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2"/>
                <w:szCs w:val="22"/>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74"/>
        </w:trPr>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452"/>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6,936</w:t>
            </w:r>
          </w:p>
        </w:tc>
        <w:tc>
          <w:tcPr>
            <w:tcW w:w="2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4,923</w:t>
            </w:r>
          </w:p>
        </w:tc>
      </w:tr>
      <w:tr>
        <w:trPr>
          <w:trHeight w:val="257"/>
        </w:trPr>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5,346</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5,185</w:t>
            </w:r>
          </w:p>
        </w:tc>
      </w:tr>
      <w:tr>
        <w:trPr>
          <w:trHeight w:val="270"/>
        </w:trPr>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18,227</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21,568</w:t>
            </w:r>
          </w:p>
        </w:tc>
      </w:tr>
      <w:tr>
        <w:trPr>
          <w:trHeight w:val="250"/>
        </w:trPr>
        <w:tc>
          <w:tcPr>
            <w:tcW w:w="12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30,509</w:t>
            </w:r>
          </w:p>
        </w:tc>
        <w:tc>
          <w:tcPr>
            <w:tcW w:w="280" w:type="dxa"/>
            <w:vAlign w:val="bottom"/>
          </w:tcPr>
          <w:p>
            <w:pPr>
              <w:spacing w:after="0"/>
              <w:rPr>
                <w:sz w:val="21"/>
                <w:szCs w:val="21"/>
                <w:color w:val="auto"/>
              </w:rPr>
            </w:pPr>
          </w:p>
        </w:tc>
        <w:tc>
          <w:tcPr>
            <w:tcW w:w="24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31,676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64" w:lineRule="exact"/>
        <w:rPr>
          <w:sz w:val="20"/>
          <w:szCs w:val="20"/>
          <w:color w:val="auto"/>
        </w:rPr>
      </w:pPr>
    </w:p>
    <w:p>
      <w:pPr>
        <w:sectPr>
          <w:pgSz w:w="11900" w:h="16838" w:orient="portrait"/>
          <w:cols w:equalWidth="0" w:num="2">
            <w:col w:w="3980" w:space="720"/>
            <w:col w:w="6520"/>
          </w:cols>
          <w:pgMar w:left="320" w:top="396" w:right="359" w:bottom="1440" w:gutter="0" w:footer="0" w:header="0"/>
          <w:type w:val="continuous"/>
        </w:sectPr>
      </w:pPr>
    </w:p>
    <w:p>
      <w:pPr>
        <w:spacing w:after="0" w:line="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three months of fiscal year 2025 or 2024.</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11" w:name="page12"/>
    <w:bookmarkEnd w:id="11"/>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annual income tax disclosures. This ASU is effective for all entities that are subject to Topic 740 for annual reporting periods beginning after December 15, 2024. Early adoption and retrospective application are permitted, but not required. The Company is currently evaluating the impact of this ASU.</w:t>
      </w:r>
    </w:p>
    <w:p>
      <w:pPr>
        <w:spacing w:after="0" w:line="207"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This ASU is effective for the company’s fiscal year-ended January 31, 2028. Early adoption is permitted, but not required. The Company is currently evaluating the impact of this ASU.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4"/>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380" w:type="dxa"/>
            <w:vAlign w:val="bottom"/>
          </w:tcPr>
          <w:p>
            <w:pPr>
              <w:spacing w:after="0"/>
              <w:rPr>
                <w:sz w:val="21"/>
                <w:szCs w:val="21"/>
                <w:color w:val="auto"/>
              </w:rPr>
            </w:pPr>
          </w:p>
        </w:tc>
      </w:tr>
      <w:tr>
        <w:trPr>
          <w:trHeight w:val="243"/>
        </w:trPr>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74"/>
        </w:trPr>
        <w:tc>
          <w:tcPr>
            <w:tcW w:w="4940" w:type="dxa"/>
            <w:vAlign w:val="bottom"/>
            <w:tcBorders>
              <w:bottom w:val="single" w:sz="8" w:color="E5FF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380" w:type="dxa"/>
            <w:vAlign w:val="bottom"/>
          </w:tcPr>
          <w:p>
            <w:pPr>
              <w:spacing w:after="0"/>
              <w:rPr>
                <w:sz w:val="23"/>
                <w:szCs w:val="23"/>
                <w:color w:val="auto"/>
              </w:rPr>
            </w:pPr>
          </w:p>
        </w:tc>
      </w:tr>
      <w:tr>
        <w:trPr>
          <w:trHeight w:val="237"/>
        </w:trPr>
        <w:tc>
          <w:tcPr>
            <w:tcW w:w="494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240" w:type="dxa"/>
            <w:vAlign w:val="bottom"/>
            <w:shd w:val="clear" w:color="auto" w:fill="E5FF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124,397</w:t>
            </w:r>
          </w:p>
        </w:tc>
        <w:tc>
          <w:tcPr>
            <w:tcW w:w="460" w:type="dxa"/>
            <w:vAlign w:val="bottom"/>
            <w:shd w:val="clear" w:color="auto" w:fill="E5FFFF"/>
          </w:tcPr>
          <w:p>
            <w:pPr>
              <w:spacing w:after="0"/>
              <w:rPr>
                <w:sz w:val="20"/>
                <w:szCs w:val="20"/>
                <w:color w:val="auto"/>
              </w:rPr>
            </w:pPr>
          </w:p>
        </w:tc>
        <w:tc>
          <w:tcPr>
            <w:tcW w:w="280" w:type="dxa"/>
            <w:vAlign w:val="bottom"/>
            <w:shd w:val="clear" w:color="auto" w:fill="E5FFFF"/>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right w:val="single" w:sz="8" w:color="E5FFFF"/>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119,427</w:t>
            </w:r>
          </w:p>
        </w:tc>
        <w:tc>
          <w:tcPr>
            <w:tcW w:w="3380" w:type="dxa"/>
            <w:vAlign w:val="bottom"/>
          </w:tcPr>
          <w:p>
            <w:pPr>
              <w:spacing w:after="0"/>
              <w:rPr>
                <w:sz w:val="20"/>
                <w:szCs w:val="20"/>
                <w:color w:val="auto"/>
              </w:rPr>
            </w:pPr>
          </w:p>
        </w:tc>
      </w:tr>
      <w:tr>
        <w:trPr>
          <w:trHeight w:val="243"/>
        </w:trPr>
        <w:tc>
          <w:tcPr>
            <w:tcW w:w="4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240" w:type="dxa"/>
            <w:vAlign w:val="bottom"/>
          </w:tcPr>
          <w:p>
            <w:pPr>
              <w:spacing w:after="0"/>
              <w:rPr>
                <w:sz w:val="21"/>
                <w:szCs w:val="21"/>
                <w:color w:val="auto"/>
              </w:rPr>
            </w:pPr>
          </w:p>
        </w:tc>
        <w:tc>
          <w:tcPr>
            <w:tcW w:w="142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22,286</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30,686</w:t>
            </w:r>
          </w:p>
        </w:tc>
        <w:tc>
          <w:tcPr>
            <w:tcW w:w="3380" w:type="dxa"/>
            <w:vAlign w:val="bottom"/>
          </w:tcPr>
          <w:p>
            <w:pPr>
              <w:spacing w:after="0"/>
              <w:rPr>
                <w:sz w:val="21"/>
                <w:szCs w:val="21"/>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4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9,879</w:t>
            </w:r>
          </w:p>
        </w:tc>
        <w:tc>
          <w:tcPr>
            <w:tcW w:w="280" w:type="dxa"/>
            <w:vAlign w:val="bottom"/>
            <w:shd w:val="clear" w:color="auto" w:fill="E5FFFF"/>
          </w:tcPr>
          <w:p>
            <w:pPr>
              <w:spacing w:after="0"/>
              <w:rPr>
                <w:sz w:val="21"/>
                <w:szCs w:val="21"/>
                <w:color w:val="auto"/>
              </w:rPr>
            </w:pPr>
          </w:p>
        </w:tc>
        <w:tc>
          <w:tcPr>
            <w:tcW w:w="98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9,805</w:t>
            </w:r>
          </w:p>
        </w:tc>
        <w:tc>
          <w:tcPr>
            <w:tcW w:w="3380" w:type="dxa"/>
            <w:vAlign w:val="bottom"/>
          </w:tcPr>
          <w:p>
            <w:pPr>
              <w:spacing w:after="0"/>
              <w:rPr>
                <w:sz w:val="21"/>
                <w:szCs w:val="21"/>
                <w:color w:val="auto"/>
              </w:rPr>
            </w:pPr>
          </w:p>
        </w:tc>
      </w:tr>
      <w:tr>
        <w:trPr>
          <w:trHeight w:val="243"/>
        </w:trPr>
        <w:tc>
          <w:tcPr>
            <w:tcW w:w="4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240" w:type="dxa"/>
            <w:vAlign w:val="bottom"/>
          </w:tcPr>
          <w:p>
            <w:pPr>
              <w:spacing w:after="0"/>
              <w:rPr>
                <w:sz w:val="21"/>
                <w:szCs w:val="21"/>
                <w:color w:val="auto"/>
              </w:rPr>
            </w:pPr>
          </w:p>
        </w:tc>
        <w:tc>
          <w:tcPr>
            <w:tcW w:w="142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1,623</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1,197</w:t>
            </w:r>
          </w:p>
        </w:tc>
        <w:tc>
          <w:tcPr>
            <w:tcW w:w="3380" w:type="dxa"/>
            <w:vAlign w:val="bottom"/>
          </w:tcPr>
          <w:p>
            <w:pPr>
              <w:spacing w:after="0"/>
              <w:rPr>
                <w:sz w:val="21"/>
                <w:szCs w:val="21"/>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 gains</w:t>
            </w:r>
          </w:p>
        </w:tc>
        <w:tc>
          <w:tcPr>
            <w:tcW w:w="24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280" w:type="dxa"/>
            <w:vAlign w:val="bottom"/>
            <w:shd w:val="clear" w:color="auto" w:fill="E5FFFF"/>
          </w:tcPr>
          <w:p>
            <w:pPr>
              <w:spacing w:after="0"/>
              <w:rPr>
                <w:sz w:val="21"/>
                <w:szCs w:val="21"/>
                <w:color w:val="auto"/>
              </w:rPr>
            </w:pPr>
          </w:p>
        </w:tc>
        <w:tc>
          <w:tcPr>
            <w:tcW w:w="98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80" w:type="dxa"/>
            <w:vAlign w:val="bottom"/>
          </w:tcPr>
          <w:p>
            <w:pPr>
              <w:spacing w:after="0"/>
              <w:rPr>
                <w:sz w:val="21"/>
                <w:szCs w:val="2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240" w:type="dxa"/>
            <w:vAlign w:val="bottom"/>
          </w:tcPr>
          <w:p>
            <w:pPr>
              <w:spacing w:after="0"/>
              <w:rPr>
                <w:sz w:val="22"/>
                <w:szCs w:val="22"/>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138</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3380" w:type="dxa"/>
            <w:vAlign w:val="bottom"/>
          </w:tcPr>
          <w:p>
            <w:pPr>
              <w:spacing w:after="0"/>
              <w:rPr>
                <w:sz w:val="22"/>
                <w:szCs w:val="22"/>
                <w:color w:val="auto"/>
              </w:rPr>
            </w:pPr>
          </w:p>
        </w:tc>
      </w:tr>
      <w:tr>
        <w:trPr>
          <w:trHeight w:val="250"/>
        </w:trPr>
        <w:tc>
          <w:tcPr>
            <w:tcW w:w="49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4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158,340</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161,231</w:t>
            </w:r>
          </w:p>
        </w:tc>
        <w:tc>
          <w:tcPr>
            <w:tcW w:w="33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4"/>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49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Leases</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At April 30, 2025,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3"/>
        </w:trPr>
        <w:tc>
          <w:tcPr>
            <w:tcW w:w="3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3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Pr>
          <w:p>
            <w:pPr>
              <w:spacing w:after="0"/>
              <w:rPr>
                <w:sz w:val="23"/>
                <w:szCs w:val="23"/>
                <w:color w:val="auto"/>
              </w:rPr>
            </w:pPr>
          </w:p>
        </w:tc>
      </w:tr>
      <w:tr>
        <w:trPr>
          <w:trHeight w:val="237"/>
        </w:trPr>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5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1660" w:type="dxa"/>
            <w:vAlign w:val="bottom"/>
            <w:gridSpan w:val="2"/>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2,008</w:t>
            </w:r>
          </w:p>
        </w:tc>
        <w:tc>
          <w:tcPr>
            <w:tcW w:w="280" w:type="dxa"/>
            <w:vAlign w:val="bottom"/>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1,682</w:t>
            </w:r>
          </w:p>
        </w:tc>
        <w:tc>
          <w:tcPr>
            <w:tcW w:w="60" w:type="dxa"/>
            <w:vAlign w:val="bottom"/>
            <w:shd w:val="clear" w:color="auto" w:fill="E5FFFF"/>
          </w:tcPr>
          <w:p>
            <w:pPr>
              <w:spacing w:after="0"/>
              <w:rPr>
                <w:sz w:val="21"/>
                <w:szCs w:val="2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Variable lease expense</w:t>
            </w: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60" w:type="dxa"/>
            <w:vAlign w:val="bottom"/>
          </w:tcPr>
          <w:p>
            <w:pPr>
              <w:spacing w:after="0"/>
              <w:rPr>
                <w:sz w:val="21"/>
                <w:szCs w:val="21"/>
                <w:color w:val="auto"/>
              </w:rPr>
            </w:pPr>
          </w:p>
        </w:tc>
      </w:tr>
      <w:tr>
        <w:trPr>
          <w:trHeight w:val="250"/>
        </w:trPr>
        <w:tc>
          <w:tcPr>
            <w:tcW w:w="35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142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2,074</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1,736</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Total cash paid for amounts included in the measurement of lease liabilities was $2.2 millions and $1.6 million in the three months ended April 30, 2025 and 2024,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April 30, 2025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7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Minimum</w:t>
            </w:r>
          </w:p>
        </w:tc>
        <w:tc>
          <w:tcPr>
            <w:tcW w:w="0" w:type="dxa"/>
            <w:vAlign w:val="bottom"/>
          </w:tcPr>
          <w:p>
            <w:pPr>
              <w:spacing w:after="0"/>
              <w:rPr>
                <w:sz w:val="1"/>
                <w:szCs w:val="1"/>
                <w:color w:val="auto"/>
              </w:rPr>
            </w:pPr>
          </w:p>
        </w:tc>
      </w:tr>
      <w:tr>
        <w:trPr>
          <w:trHeight w:val="247"/>
        </w:trPr>
        <w:tc>
          <w:tcPr>
            <w:tcW w:w="3220" w:type="dxa"/>
            <w:vAlign w:val="bottom"/>
            <w:gridSpan w:val="2"/>
            <w:vMerge w:val="continue"/>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7" w:lineRule="exact"/>
              <w:rPr>
                <w:sz w:val="20"/>
                <w:szCs w:val="20"/>
                <w:color w:val="auto"/>
              </w:rPr>
            </w:pPr>
            <w:r>
              <w:rPr>
                <w:rFonts w:ascii="Times New Roman" w:cs="Times New Roman" w:eastAsia="Times New Roman" w:hAnsi="Times New Roman"/>
                <w:sz w:val="22"/>
                <w:szCs w:val="22"/>
                <w:b w:val="1"/>
                <w:bCs w:val="1"/>
                <w:color w:val="auto"/>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9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5,792</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7,706</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9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6,378</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3,698</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9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2,036</w:t>
            </w:r>
          </w:p>
        </w:tc>
        <w:tc>
          <w:tcPr>
            <w:tcW w:w="0" w:type="dxa"/>
            <w:vAlign w:val="bottom"/>
          </w:tcPr>
          <w:p>
            <w:pPr>
              <w:spacing w:after="0"/>
              <w:rPr>
                <w:sz w:val="1"/>
                <w:szCs w:val="1"/>
                <w:color w:val="auto"/>
              </w:rPr>
            </w:pPr>
          </w:p>
        </w:tc>
      </w:tr>
      <w:tr>
        <w:trPr>
          <w:trHeight w:val="257"/>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r>
        <w:trPr>
          <w:trHeight w:val="237"/>
        </w:trPr>
        <w:tc>
          <w:tcPr>
            <w:tcW w:w="322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7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25,743</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present value discount</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2,931</w:t>
            </w:r>
          </w:p>
        </w:tc>
        <w:tc>
          <w:tcPr>
            <w:tcW w:w="0" w:type="dxa"/>
            <w:vAlign w:val="bottom"/>
          </w:tcPr>
          <w:p>
            <w:pPr>
              <w:spacing w:after="0"/>
              <w:rPr>
                <w:sz w:val="1"/>
                <w:szCs w:val="1"/>
                <w:color w:val="auto"/>
              </w:rPr>
            </w:pPr>
          </w:p>
        </w:tc>
      </w:tr>
      <w:tr>
        <w:trPr>
          <w:trHeight w:val="250"/>
        </w:trPr>
        <w:tc>
          <w:tcPr>
            <w:tcW w:w="322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7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22,812</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At April 30, 2025, the weighted average remaining lease term is 3.4 years, and the weighted average discount rate is 6.59% for the outstanding leases.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390" w:right="459" w:bottom="1440" w:gutter="0" w:footer="0" w:header="0"/>
        </w:sectPr>
      </w:pPr>
    </w:p>
    <w:bookmarkStart w:id="13" w:name="page14"/>
    <w:bookmarkEnd w:id="13"/>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At January 31, 2025, the weighted average remaining lease term was 3.5 years, and the weighted average discount rate was 6.60% for the outstanding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Finance Leases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 April 30, 2025, the Company had one lease agreement that was classified as a finance lease for an electrical substation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Prepayments totaling $15.6 million were made prior to fiscal year 2025, with monthly payments of approximately</w:t>
      </w:r>
    </w:p>
    <w:p>
      <w:pPr>
        <w:spacing w:after="0" w:line="230" w:lineRule="auto"/>
        <w:rPr>
          <w:sz w:val="20"/>
          <w:szCs w:val="20"/>
          <w:color w:val="auto"/>
        </w:rPr>
      </w:pPr>
      <w:r>
        <w:rPr>
          <w:rFonts w:ascii="Times New Roman" w:cs="Times New Roman" w:eastAsia="Times New Roman" w:hAnsi="Times New Roman"/>
          <w:sz w:val="22"/>
          <w:szCs w:val="22"/>
          <w:color w:val="auto"/>
        </w:rPr>
        <w:t>$39,000 to be made over the term of the lease, which was determined to be 10 years. The lease term for this lease includes the</w:t>
      </w:r>
    </w:p>
    <w:p>
      <w:pPr>
        <w:spacing w:after="0" w:line="231" w:lineRule="auto"/>
        <w:rPr>
          <w:sz w:val="20"/>
          <w:szCs w:val="20"/>
          <w:color w:val="auto"/>
        </w:rPr>
      </w:pPr>
      <w:r>
        <w:rPr>
          <w:rFonts w:ascii="Times New Roman" w:cs="Times New Roman" w:eastAsia="Times New Roman" w:hAnsi="Times New Roman"/>
          <w:sz w:val="22"/>
          <w:szCs w:val="22"/>
          <w:color w:val="auto"/>
        </w:rPr>
        <w:t>noncancelable period of the lease and any periods for which only the Company has the option to cancel but is reasonably</w:t>
      </w:r>
    </w:p>
    <w:p>
      <w:pPr>
        <w:spacing w:after="0"/>
        <w:rPr>
          <w:sz w:val="20"/>
          <w:szCs w:val="20"/>
          <w:color w:val="auto"/>
        </w:rPr>
      </w:pPr>
      <w:r>
        <w:rPr>
          <w:rFonts w:ascii="Times New Roman" w:cs="Times New Roman" w:eastAsia="Times New Roman" w:hAnsi="Times New Roman"/>
          <w:sz w:val="21"/>
          <w:szCs w:val="21"/>
          <w:color w:val="auto"/>
        </w:rPr>
        <w:t>expected to continue the lease. Based on this, the lease term was determined to be 10 years. Control of the facility’s output was</w:t>
      </w:r>
    </w:p>
    <w:p>
      <w:pPr>
        <w:spacing w:after="0" w:line="231" w:lineRule="auto"/>
        <w:rPr>
          <w:sz w:val="20"/>
          <w:szCs w:val="20"/>
          <w:color w:val="auto"/>
        </w:rPr>
      </w:pPr>
      <w:r>
        <w:rPr>
          <w:rFonts w:ascii="Times New Roman" w:cs="Times New Roman" w:eastAsia="Times New Roman" w:hAnsi="Times New Roman"/>
          <w:sz w:val="22"/>
          <w:szCs w:val="22"/>
          <w:color w:val="auto"/>
        </w:rPr>
        <w:t>transferred to the Company just before the end of the first quarter of 2025, with monthly payments commencing in the second</w:t>
      </w:r>
    </w:p>
    <w:p>
      <w:pPr>
        <w:spacing w:after="0" w:line="231" w:lineRule="auto"/>
        <w:rPr>
          <w:sz w:val="20"/>
          <w:szCs w:val="20"/>
          <w:color w:val="auto"/>
        </w:rPr>
      </w:pPr>
      <w:r>
        <w:rPr>
          <w:rFonts w:ascii="Times New Roman" w:cs="Times New Roman" w:eastAsia="Times New Roman" w:hAnsi="Times New Roman"/>
          <w:sz w:val="22"/>
          <w:szCs w:val="22"/>
          <w:color w:val="auto"/>
        </w:rPr>
        <w:t>quarter of 2025. As such, no significant expense has been incurred to-date as the first full month in service is not until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quarter.</w:t>
      </w:r>
    </w:p>
    <w:p>
      <w:pPr>
        <w:spacing w:after="0" w:line="20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The weighted average remaining lease term for the finance lease is 10.0 years as of April 30, 2025. A discount rate of 6.9% was deemed appropriate as an incremental borrowing rate for a 10 year term.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April 30, 2025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780" w:type="dxa"/>
            <w:vAlign w:val="bottom"/>
          </w:tcPr>
          <w:p>
            <w:pPr>
              <w:spacing w:after="0"/>
              <w:rPr>
                <w:sz w:val="22"/>
                <w:szCs w:val="22"/>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w w:val="97"/>
              </w:rPr>
              <w:t>Minimum</w:t>
            </w:r>
          </w:p>
        </w:tc>
        <w:tc>
          <w:tcPr>
            <w:tcW w:w="0" w:type="dxa"/>
            <w:vAlign w:val="bottom"/>
          </w:tcPr>
          <w:p>
            <w:pPr>
              <w:spacing w:after="0"/>
              <w:rPr>
                <w:sz w:val="1"/>
                <w:szCs w:val="1"/>
                <w:color w:val="auto"/>
              </w:rPr>
            </w:pPr>
          </w:p>
        </w:tc>
      </w:tr>
      <w:tr>
        <w:trPr>
          <w:trHeight w:val="247"/>
        </w:trPr>
        <w:tc>
          <w:tcPr>
            <w:tcW w:w="3220" w:type="dxa"/>
            <w:vAlign w:val="bottom"/>
            <w:gridSpan w:val="2"/>
            <w:vMerge w:val="continue"/>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7" w:lineRule="exact"/>
              <w:rPr>
                <w:sz w:val="20"/>
                <w:szCs w:val="20"/>
                <w:color w:val="auto"/>
              </w:rPr>
            </w:pPr>
            <w:r>
              <w:rPr>
                <w:rFonts w:ascii="Times New Roman" w:cs="Times New Roman" w:eastAsia="Times New Roman" w:hAnsi="Times New Roman"/>
                <w:sz w:val="22"/>
                <w:szCs w:val="22"/>
                <w:b w:val="1"/>
                <w:bCs w:val="1"/>
                <w:color w:val="auto"/>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9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391</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9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9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0" w:type="dxa"/>
            <w:vAlign w:val="bottom"/>
          </w:tcPr>
          <w:p>
            <w:pPr>
              <w:spacing w:after="0"/>
              <w:rPr>
                <w:sz w:val="1"/>
                <w:szCs w:val="1"/>
                <w:color w:val="auto"/>
              </w:rPr>
            </w:pPr>
          </w:p>
        </w:tc>
      </w:tr>
      <w:tr>
        <w:trPr>
          <w:trHeight w:val="256"/>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2,423</w:t>
            </w:r>
          </w:p>
        </w:tc>
        <w:tc>
          <w:tcPr>
            <w:tcW w:w="0" w:type="dxa"/>
            <w:vAlign w:val="bottom"/>
          </w:tcPr>
          <w:p>
            <w:pPr>
              <w:spacing w:after="0"/>
              <w:rPr>
                <w:sz w:val="1"/>
                <w:szCs w:val="1"/>
                <w:color w:val="auto"/>
              </w:rPr>
            </w:pPr>
          </w:p>
        </w:tc>
      </w:tr>
      <w:tr>
        <w:trPr>
          <w:trHeight w:val="237"/>
        </w:trPr>
        <w:tc>
          <w:tcPr>
            <w:tcW w:w="322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7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4,690</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1,309</w:t>
            </w:r>
          </w:p>
        </w:tc>
        <w:tc>
          <w:tcPr>
            <w:tcW w:w="0" w:type="dxa"/>
            <w:vAlign w:val="bottom"/>
          </w:tcPr>
          <w:p>
            <w:pPr>
              <w:spacing w:after="0"/>
              <w:rPr>
                <w:sz w:val="1"/>
                <w:szCs w:val="1"/>
                <w:color w:val="auto"/>
              </w:rPr>
            </w:pPr>
          </w:p>
        </w:tc>
      </w:tr>
      <w:tr>
        <w:trPr>
          <w:trHeight w:val="250"/>
        </w:trPr>
        <w:tc>
          <w:tcPr>
            <w:tcW w:w="322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7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3,381</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9"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14" w:name="page15"/>
    <w:bookmarkEnd w:id="14"/>
    <w:p>
      <w:pPr>
        <w:ind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7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86"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April 30,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20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0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468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840</w:t>
            </w:r>
          </w:p>
        </w:tc>
        <w:tc>
          <w:tcPr>
            <w:tcW w:w="2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840</w:t>
            </w: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669</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840</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1,509</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8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1,105</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20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0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6"/>
        </w:trPr>
        <w:tc>
          <w:tcPr>
            <w:tcW w:w="468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1,253</w:t>
            </w:r>
          </w:p>
        </w:tc>
        <w:tc>
          <w:tcPr>
            <w:tcW w:w="2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1,253</w:t>
            </w: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(1,291)</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1,253</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(38)</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8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378</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360" w:hanging="328"/>
        <w:spacing w:after="0" w:line="24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38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1020" w:hanging="328"/>
        <w:spacing w:after="0" w:line="23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0" w:type="dxa"/>
            <w:vAlign w:val="bottom"/>
          </w:tcPr>
          <w:p>
            <w:pPr>
              <w:spacing w:after="0"/>
              <w:rPr>
                <w:sz w:val="23"/>
                <w:szCs w:val="23"/>
                <w:color w:val="auto"/>
              </w:rPr>
            </w:pPr>
          </w:p>
        </w:tc>
      </w:tr>
      <w:tr>
        <w:trPr>
          <w:trHeight w:val="237"/>
        </w:trPr>
        <w:tc>
          <w:tcPr>
            <w:tcW w:w="4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1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1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60" w:type="dxa"/>
            <w:vAlign w:val="bottom"/>
            <w:shd w:val="clear" w:color="auto" w:fill="E5FFFF"/>
          </w:tcPr>
          <w:p>
            <w:pPr>
              <w:spacing w:after="0"/>
              <w:rPr>
                <w:sz w:val="21"/>
                <w:szCs w:val="21"/>
                <w:color w:val="auto"/>
              </w:rPr>
            </w:pPr>
          </w:p>
        </w:tc>
      </w:tr>
      <w:tr>
        <w:trPr>
          <w:trHeight w:val="243"/>
        </w:trPr>
        <w:tc>
          <w:tcPr>
            <w:tcW w:w="4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24,218</w:t>
            </w:r>
          </w:p>
        </w:tc>
        <w:tc>
          <w:tcPr>
            <w:tcW w:w="2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24,026</w:t>
            </w:r>
          </w:p>
        </w:tc>
        <w:tc>
          <w:tcPr>
            <w:tcW w:w="60" w:type="dxa"/>
            <w:vAlign w:val="bottom"/>
          </w:tcPr>
          <w:p>
            <w:pPr>
              <w:spacing w:after="0"/>
              <w:rPr>
                <w:sz w:val="21"/>
                <w:szCs w:val="21"/>
                <w:color w:val="auto"/>
              </w:rPr>
            </w:pPr>
          </w:p>
        </w:tc>
      </w:tr>
      <w:tr>
        <w:trPr>
          <w:trHeight w:val="243"/>
        </w:trPr>
        <w:tc>
          <w:tcPr>
            <w:tcW w:w="41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0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319,568</w:t>
            </w:r>
          </w:p>
        </w:tc>
        <w:tc>
          <w:tcPr>
            <w:tcW w:w="22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318,399</w:t>
            </w:r>
          </w:p>
        </w:tc>
        <w:tc>
          <w:tcPr>
            <w:tcW w:w="60" w:type="dxa"/>
            <w:vAlign w:val="bottom"/>
            <w:shd w:val="clear" w:color="auto" w:fill="E5FFFF"/>
          </w:tcPr>
          <w:p>
            <w:pPr>
              <w:spacing w:after="0"/>
              <w:rPr>
                <w:sz w:val="21"/>
                <w:szCs w:val="21"/>
                <w:color w:val="auto"/>
              </w:rPr>
            </w:pP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100,954</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94,010</w:t>
            </w:r>
          </w:p>
        </w:tc>
        <w:tc>
          <w:tcPr>
            <w:tcW w:w="60" w:type="dxa"/>
            <w:vAlign w:val="bottom"/>
          </w:tcPr>
          <w:p>
            <w:pPr>
              <w:spacing w:after="0"/>
              <w:rPr>
                <w:sz w:val="22"/>
                <w:szCs w:val="22"/>
                <w:color w:val="auto"/>
              </w:rPr>
            </w:pPr>
          </w:p>
        </w:tc>
      </w:tr>
      <w:tr>
        <w:trPr>
          <w:trHeight w:val="237"/>
        </w:trPr>
        <w:tc>
          <w:tcPr>
            <w:tcW w:w="410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00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10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478,852</w:t>
            </w:r>
          </w:p>
        </w:tc>
        <w:tc>
          <w:tcPr>
            <w:tcW w:w="30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9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470,547</w:t>
            </w:r>
          </w:p>
        </w:tc>
        <w:tc>
          <w:tcPr>
            <w:tcW w:w="60" w:type="dxa"/>
            <w:vAlign w:val="bottom"/>
            <w:tcBorders>
              <w:top w:val="single" w:sz="8" w:color="E5FFFF"/>
            </w:tcBorders>
            <w:shd w:val="clear" w:color="auto" w:fill="E5FFFF"/>
          </w:tcPr>
          <w:p>
            <w:pPr>
              <w:spacing w:after="0"/>
              <w:rPr>
                <w:sz w:val="20"/>
                <w:szCs w:val="20"/>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(263,247)</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(259,864)</w:t>
            </w:r>
          </w:p>
        </w:tc>
        <w:tc>
          <w:tcPr>
            <w:tcW w:w="60" w:type="dxa"/>
            <w:vAlign w:val="bottom"/>
          </w:tcPr>
          <w:p>
            <w:pPr>
              <w:spacing w:after="0"/>
              <w:rPr>
                <w:sz w:val="22"/>
                <w:szCs w:val="22"/>
                <w:color w:val="auto"/>
              </w:rPr>
            </w:pPr>
          </w:p>
        </w:tc>
      </w:tr>
      <w:tr>
        <w:trPr>
          <w:trHeight w:val="250"/>
        </w:trPr>
        <w:tc>
          <w:tcPr>
            <w:tcW w:w="41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00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215,605</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210,683</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Other Assets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3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0" w:type="dxa"/>
            <w:vAlign w:val="bottom"/>
          </w:tcPr>
          <w:p>
            <w:pPr>
              <w:spacing w:after="0"/>
              <w:rPr>
                <w:sz w:val="23"/>
                <w:szCs w:val="23"/>
                <w:color w:val="auto"/>
              </w:rPr>
            </w:pPr>
          </w:p>
        </w:tc>
      </w:tr>
      <w:tr>
        <w:trPr>
          <w:trHeight w:val="236"/>
        </w:trPr>
        <w:tc>
          <w:tcPr>
            <w:tcW w:w="3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18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60" w:type="dxa"/>
            <w:vAlign w:val="bottom"/>
            <w:shd w:val="clear" w:color="auto" w:fill="E5FFFF"/>
          </w:tcPr>
          <w:p>
            <w:pPr>
              <w:spacing w:after="0"/>
              <w:rPr>
                <w:sz w:val="21"/>
                <w:szCs w:val="2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1,081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w:t>
            </w:r>
          </w:p>
        </w:tc>
        <w:tc>
          <w:tcPr>
            <w:tcW w:w="60" w:type="dxa"/>
            <w:vAlign w:val="bottom"/>
          </w:tcPr>
          <w:p>
            <w:pPr>
              <w:spacing w:after="0"/>
              <w:rPr>
                <w:sz w:val="22"/>
                <w:szCs w:val="22"/>
                <w:color w:val="auto"/>
              </w:rPr>
            </w:pPr>
          </w:p>
        </w:tc>
      </w:tr>
      <w:tr>
        <w:trPr>
          <w:trHeight w:val="250"/>
        </w:trPr>
        <w:tc>
          <w:tcPr>
            <w:tcW w:w="34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1,081</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16,721</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2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3380" w:type="dxa"/>
            <w:vAlign w:val="bottom"/>
          </w:tcPr>
          <w:p>
            <w:pPr>
              <w:spacing w:after="0"/>
              <w:rPr>
                <w:sz w:val="21"/>
                <w:szCs w:val="21"/>
                <w:color w:val="auto"/>
              </w:rPr>
            </w:pPr>
          </w:p>
        </w:tc>
      </w:tr>
      <w:tr>
        <w:trPr>
          <w:trHeight w:val="274"/>
        </w:trPr>
        <w:tc>
          <w:tcPr>
            <w:tcW w:w="4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380" w:type="dxa"/>
            <w:vAlign w:val="bottom"/>
          </w:tcPr>
          <w:p>
            <w:pPr>
              <w:spacing w:after="0"/>
              <w:rPr>
                <w:sz w:val="23"/>
                <w:szCs w:val="23"/>
                <w:color w:val="auto"/>
              </w:rPr>
            </w:pPr>
          </w:p>
        </w:tc>
      </w:tr>
      <w:tr>
        <w:trPr>
          <w:trHeight w:val="236"/>
        </w:trPr>
        <w:tc>
          <w:tcPr>
            <w:tcW w:w="4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1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4,089</w:t>
            </w:r>
          </w:p>
        </w:tc>
        <w:tc>
          <w:tcPr>
            <w:tcW w:w="24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8,961</w:t>
            </w:r>
          </w:p>
        </w:tc>
        <w:tc>
          <w:tcPr>
            <w:tcW w:w="3380" w:type="dxa"/>
            <w:vAlign w:val="bottom"/>
          </w:tcPr>
          <w:p>
            <w:pPr>
              <w:spacing w:after="0"/>
              <w:rPr>
                <w:sz w:val="21"/>
                <w:szCs w:val="21"/>
                <w:color w:val="auto"/>
              </w:rPr>
            </w:pP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2,772</w:t>
            </w:r>
          </w:p>
        </w:tc>
        <w:tc>
          <w:tcPr>
            <w:tcW w:w="2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3,085</w:t>
            </w:r>
          </w:p>
        </w:tc>
        <w:tc>
          <w:tcPr>
            <w:tcW w:w="3380" w:type="dxa"/>
            <w:vAlign w:val="bottom"/>
          </w:tcPr>
          <w:p>
            <w:pPr>
              <w:spacing w:after="0"/>
              <w:rPr>
                <w:sz w:val="21"/>
                <w:szCs w:val="21"/>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9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707</w:t>
            </w:r>
          </w:p>
        </w:tc>
        <w:tc>
          <w:tcPr>
            <w:tcW w:w="240" w:type="dxa"/>
            <w:vAlign w:val="bottom"/>
            <w:shd w:val="clear" w:color="auto" w:fill="E5FFFF"/>
          </w:tcPr>
          <w:p>
            <w:pPr>
              <w:spacing w:after="0"/>
              <w:rPr>
                <w:sz w:val="21"/>
                <w:szCs w:val="21"/>
                <w:color w:val="auto"/>
              </w:rPr>
            </w:pPr>
          </w:p>
        </w:tc>
        <w:tc>
          <w:tcPr>
            <w:tcW w:w="102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555</w:t>
            </w:r>
          </w:p>
        </w:tc>
        <w:tc>
          <w:tcPr>
            <w:tcW w:w="3380" w:type="dxa"/>
            <w:vAlign w:val="bottom"/>
          </w:tcPr>
          <w:p>
            <w:pPr>
              <w:spacing w:after="0"/>
              <w:rPr>
                <w:sz w:val="21"/>
                <w:szCs w:val="21"/>
                <w:color w:val="auto"/>
              </w:rPr>
            </w:pP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1,918</w:t>
            </w:r>
          </w:p>
        </w:tc>
        <w:tc>
          <w:tcPr>
            <w:tcW w:w="2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1,746</w:t>
            </w:r>
          </w:p>
        </w:tc>
        <w:tc>
          <w:tcPr>
            <w:tcW w:w="3380" w:type="dxa"/>
            <w:vAlign w:val="bottom"/>
          </w:tcPr>
          <w:p>
            <w:pPr>
              <w:spacing w:after="0"/>
              <w:rPr>
                <w:sz w:val="21"/>
                <w:szCs w:val="21"/>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9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3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1,105</w:t>
            </w:r>
          </w:p>
        </w:tc>
        <w:tc>
          <w:tcPr>
            <w:tcW w:w="240" w:type="dxa"/>
            <w:vAlign w:val="bottom"/>
            <w:shd w:val="clear" w:color="auto" w:fill="E5FFFF"/>
          </w:tcPr>
          <w:p>
            <w:pPr>
              <w:spacing w:after="0"/>
              <w:rPr>
                <w:sz w:val="21"/>
                <w:szCs w:val="21"/>
                <w:color w:val="auto"/>
              </w:rPr>
            </w:pPr>
          </w:p>
        </w:tc>
        <w:tc>
          <w:tcPr>
            <w:tcW w:w="102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378</w:t>
            </w:r>
          </w:p>
        </w:tc>
        <w:tc>
          <w:tcPr>
            <w:tcW w:w="3380" w:type="dxa"/>
            <w:vAlign w:val="bottom"/>
          </w:tcPr>
          <w:p>
            <w:pPr>
              <w:spacing w:after="0"/>
              <w:rPr>
                <w:sz w:val="21"/>
                <w:szCs w:val="21"/>
                <w:color w:val="auto"/>
              </w:rPr>
            </w:pP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3,801</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1,635</w:t>
            </w:r>
          </w:p>
        </w:tc>
        <w:tc>
          <w:tcPr>
            <w:tcW w:w="3380" w:type="dxa"/>
            <w:vAlign w:val="bottom"/>
          </w:tcPr>
          <w:p>
            <w:pPr>
              <w:spacing w:after="0"/>
              <w:rPr>
                <w:sz w:val="22"/>
                <w:szCs w:val="22"/>
                <w:color w:val="auto"/>
              </w:rPr>
            </w:pPr>
          </w:p>
        </w:tc>
      </w:tr>
      <w:tr>
        <w:trPr>
          <w:trHeight w:val="250"/>
        </w:trPr>
        <w:tc>
          <w:tcPr>
            <w:tcW w:w="4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9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14,392</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16,360</w:t>
            </w:r>
          </w:p>
        </w:tc>
        <w:tc>
          <w:tcPr>
            <w:tcW w:w="338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4"/>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412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gridSpan w:val="5"/>
          </w:tcPr>
          <w:p>
            <w:pPr>
              <w:ind w:left="540"/>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160" w:type="dxa"/>
            <w:vAlign w:val="bottom"/>
          </w:tcPr>
          <w:p>
            <w:pPr>
              <w:spacing w:after="0"/>
              <w:rPr>
                <w:sz w:val="22"/>
                <w:szCs w:val="22"/>
                <w:color w:val="auto"/>
              </w:rPr>
            </w:pPr>
          </w:p>
        </w:tc>
        <w:tc>
          <w:tcPr>
            <w:tcW w:w="238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3"/>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60" w:type="dxa"/>
            <w:vAlign w:val="bottom"/>
          </w:tcPr>
          <w:p>
            <w:pPr>
              <w:spacing w:after="0"/>
              <w:rPr>
                <w:sz w:val="21"/>
                <w:szCs w:val="21"/>
                <w:color w:val="auto"/>
              </w:rPr>
            </w:pP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420" w:type="dxa"/>
            <w:vAlign w:val="bottom"/>
          </w:tcPr>
          <w:p>
            <w:pPr>
              <w:spacing w:after="0"/>
              <w:rPr>
                <w:sz w:val="21"/>
                <w:szCs w:val="21"/>
                <w:color w:val="auto"/>
              </w:rPr>
            </w:pPr>
          </w:p>
        </w:tc>
        <w:tc>
          <w:tcPr>
            <w:tcW w:w="13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78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1,253</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1,105</w:t>
            </w:r>
          </w:p>
        </w:tc>
        <w:tc>
          <w:tcPr>
            <w:tcW w:w="1300" w:type="dxa"/>
            <w:vAlign w:val="bottom"/>
            <w:gridSpan w:val="2"/>
            <w:shd w:val="clear" w:color="auto" w:fill="E5FFFF"/>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378</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(3)</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534</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2,523</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60" w:type="dxa"/>
            <w:vAlign w:val="bottom"/>
            <w:shd w:val="clear" w:color="auto" w:fill="E5FFFF"/>
          </w:tcPr>
          <w:p>
            <w:pPr>
              <w:spacing w:after="0"/>
              <w:rPr>
                <w:sz w:val="22"/>
                <w:szCs w:val="22"/>
                <w:color w:val="auto"/>
              </w:rPr>
            </w:pP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669</w:t>
            </w:r>
          </w:p>
        </w:tc>
        <w:tc>
          <w:tcPr>
            <w:tcW w:w="4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(1,291)</w:t>
            </w:r>
          </w:p>
        </w:tc>
        <w:tc>
          <w:tcPr>
            <w:tcW w:w="160" w:type="dxa"/>
            <w:vAlign w:val="bottom"/>
            <w:shd w:val="clear" w:color="auto" w:fill="E5FFFF"/>
          </w:tcPr>
          <w:p>
            <w:pPr>
              <w:spacing w:after="0"/>
              <w:rPr>
                <w:sz w:val="22"/>
                <w:szCs w:val="22"/>
                <w:color w:val="auto"/>
              </w:rPr>
            </w:pP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1,203</w:t>
            </w: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1,232</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63"/>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2,043</w:t>
            </w:r>
          </w:p>
        </w:tc>
        <w:tc>
          <w:tcPr>
            <w:tcW w:w="78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2,485</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1,105</w:t>
            </w:r>
          </w:p>
        </w:tc>
        <w:tc>
          <w:tcPr>
            <w:tcW w:w="1300" w:type="dxa"/>
            <w:vAlign w:val="bottom"/>
            <w:gridSpan w:val="2"/>
            <w:shd w:val="clear" w:color="auto" w:fill="E5FF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378</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16" w:lineRule="exact"/>
        <w:rPr>
          <w:sz w:val="20"/>
          <w:szCs w:val="20"/>
          <w:color w:val="auto"/>
        </w:rPr>
      </w:pPr>
    </w:p>
    <w:p>
      <w:pPr>
        <w:ind w:left="660" w:right="180" w:hanging="328"/>
        <w:spacing w:after="0" w:line="24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8.1 million and 16.8 million bushels of corn at April 30, 2025 and January 31, 2025, respectively.</w:t>
      </w:r>
    </w:p>
    <w:p>
      <w:pPr>
        <w:spacing w:after="0" w:line="200" w:lineRule="exact"/>
        <w:rPr>
          <w:rFonts w:ascii="Times New Roman" w:cs="Times New Roman" w:eastAsia="Times New Roman" w:hAnsi="Times New Roman"/>
          <w:sz w:val="22"/>
          <w:szCs w:val="22"/>
          <w:color w:val="auto"/>
        </w:rPr>
      </w:pPr>
    </w:p>
    <w:p>
      <w:pPr>
        <w:ind w:left="660" w:right="5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9.5 million and 7.6 million bushels of corn at April 30, 2025 and January 31, 2025, respectively.</w:t>
      </w:r>
    </w:p>
    <w:p>
      <w:pPr>
        <w:spacing w:after="0" w:line="200"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and long-buy positions for approximately 6.0 million and 0.4 million bushels of corn, respectively at April 30, 2025. These contracts included short/sell positions and long/buy positions for approximately 6.3 million and 575,000 bushels of corn, respectively, at January 31, 2025. These contracts also included short/sell positions for approximately 4.2 million gallons of ethanol at both April 30, 2025 and January 31,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7" w:name="page18"/>
    <w:bookmarkEnd w:id="17"/>
    <w:p>
      <w:pPr>
        <w:ind w:left="660" w:right="80" w:hanging="328"/>
        <w:spacing w:after="0" w:line="236"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April 30, 2025 and January 31, 2025,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April 30, 2025 and January 31, 2025, the Company recorded this collateral balance within “Prepaid expenses and other” on the accompanying Consolidated Balance Sheets.</w:t>
      </w:r>
    </w:p>
    <w:p>
      <w:pPr>
        <w:spacing w:after="0" w:line="20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gains recognized in income on the Company’s derivative financial instruments and the line items on the accompanying Consolidated Statements of Operations in which the fair values are reflected for the three months ended April 30, 2025 and 2024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gridSpan w:val="5"/>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660" w:type="dxa"/>
            <w:vAlign w:val="bottom"/>
          </w:tcPr>
          <w:p>
            <w:pPr>
              <w:spacing w:after="0"/>
              <w:rPr>
                <w:sz w:val="21"/>
                <w:szCs w:val="21"/>
                <w:color w:val="auto"/>
              </w:rPr>
            </w:pPr>
          </w:p>
        </w:tc>
      </w:tr>
      <w:tr>
        <w:trPr>
          <w:trHeight w:val="274"/>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5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9"/>
              </w:rPr>
              <w:t>2024</w:t>
            </w:r>
          </w:p>
        </w:tc>
      </w:tr>
      <w:tr>
        <w:trPr>
          <w:trHeight w:val="492"/>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4"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April 30, 2025 and January 31, 2025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gridSpan w:val="4"/>
          </w:tcPr>
          <w:p>
            <w:pPr>
              <w:ind w:left="76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61"/>
        </w:trPr>
        <w:tc>
          <w:tcPr>
            <w:tcW w:w="3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Ownership Percentage</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b w:val="1"/>
                <w:bCs w:val="1"/>
                <w:color w:val="auto"/>
                <w:w w:val="96"/>
              </w:rPr>
              <w:t>April 30, 2025</w:t>
            </w:r>
          </w:p>
        </w:tc>
        <w:tc>
          <w:tcPr>
            <w:tcW w:w="1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January 31, 2025</w:t>
            </w:r>
          </w:p>
        </w:tc>
      </w:tr>
      <w:tr>
        <w:trPr>
          <w:trHeight w:val="27"/>
        </w:trPr>
        <w:tc>
          <w:tcPr>
            <w:tcW w:w="580" w:type="dxa"/>
            <w:vAlign w:val="bottom"/>
            <w:shd w:val="clear" w:color="auto" w:fill="000000"/>
          </w:tcPr>
          <w:p>
            <w:pPr>
              <w:spacing w:after="0"/>
              <w:rPr>
                <w:sz w:val="2"/>
                <w:szCs w:val="2"/>
                <w:color w:val="auto"/>
              </w:rPr>
            </w:pPr>
          </w:p>
        </w:tc>
        <w:tc>
          <w:tcPr>
            <w:tcW w:w="328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98"/>
        </w:trPr>
        <w:tc>
          <w:tcPr>
            <w:tcW w:w="3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20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10.3%</w:t>
            </w:r>
          </w:p>
        </w:tc>
        <w:tc>
          <w:tcPr>
            <w:tcW w:w="340" w:type="dxa"/>
            <w:vAlign w:val="bottom"/>
          </w:tcPr>
          <w:p>
            <w:pPr>
              <w:spacing w:after="0"/>
              <w:rPr>
                <w:sz w:val="24"/>
                <w:szCs w:val="24"/>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$36,806</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$35,800</w:t>
            </w:r>
          </w:p>
        </w:tc>
        <w:tc>
          <w:tcPr>
            <w:tcW w:w="20" w:type="dxa"/>
            <w:vAlign w:val="bottom"/>
          </w:tcPr>
          <w:p>
            <w:pPr>
              <w:spacing w:after="0"/>
              <w:rPr>
                <w:sz w:val="24"/>
                <w:szCs w:val="24"/>
                <w:color w:val="auto"/>
              </w:rPr>
            </w:pPr>
          </w:p>
        </w:tc>
      </w:tr>
    </w:tbl>
    <w:p>
      <w:pPr>
        <w:spacing w:after="0" w:line="20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$16.8 million and approximately $15.8 million at April 30, 2025 and January 31, 2025, respectively. The Company did not receive dividends from its equity method investee in the first quarter of fiscal year 2025 or 2024.</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8" w:name="page19"/>
    <w:bookmarkEnd w:id="18"/>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2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57"/>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4"/>
        </w:trPr>
        <w:tc>
          <w:tcPr>
            <w:tcW w:w="5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7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Pr>
          <w:p>
            <w:pPr>
              <w:spacing w:after="0"/>
              <w:rPr>
                <w:sz w:val="23"/>
                <w:szCs w:val="23"/>
                <w:color w:val="auto"/>
              </w:rPr>
            </w:pPr>
          </w:p>
        </w:tc>
      </w:tr>
      <w:tr>
        <w:trPr>
          <w:trHeight w:val="237"/>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272,303</w:t>
            </w: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272,986</w:t>
            </w:r>
          </w:p>
        </w:tc>
        <w:tc>
          <w:tcPr>
            <w:tcW w:w="60" w:type="dxa"/>
            <w:vAlign w:val="bottom"/>
            <w:shd w:val="clear" w:color="auto" w:fill="E5FFFF"/>
          </w:tcPr>
          <w:p>
            <w:pPr>
              <w:spacing w:after="0"/>
              <w:rPr>
                <w:sz w:val="21"/>
                <w:szCs w:val="21"/>
                <w:color w:val="auto"/>
              </w:rPr>
            </w:pP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14,250</w:t>
            </w:r>
          </w:p>
        </w:tc>
        <w:tc>
          <w:tcPr>
            <w:tcW w:w="7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18,262</w:t>
            </w:r>
          </w:p>
        </w:tc>
        <w:tc>
          <w:tcPr>
            <w:tcW w:w="60" w:type="dxa"/>
            <w:vAlign w:val="bottom"/>
          </w:tcPr>
          <w:p>
            <w:pPr>
              <w:spacing w:after="0"/>
              <w:rPr>
                <w:sz w:val="21"/>
                <w:szCs w:val="2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3,862</w:t>
            </w: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6,546</w:t>
            </w:r>
          </w:p>
        </w:tc>
        <w:tc>
          <w:tcPr>
            <w:tcW w:w="60" w:type="dxa"/>
            <w:vAlign w:val="bottom"/>
            <w:shd w:val="clear" w:color="auto" w:fill="E5FFFF"/>
          </w:tcPr>
          <w:p>
            <w:pPr>
              <w:spacing w:after="0"/>
              <w:rPr>
                <w:sz w:val="21"/>
                <w:szCs w:val="21"/>
                <w:color w:val="auto"/>
              </w:rPr>
            </w:pP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11,736</w:t>
            </w:r>
          </w:p>
        </w:tc>
        <w:tc>
          <w:tcPr>
            <w:tcW w:w="7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19,162</w:t>
            </w:r>
          </w:p>
        </w:tc>
        <w:tc>
          <w:tcPr>
            <w:tcW w:w="60" w:type="dxa"/>
            <w:vAlign w:val="bottom"/>
          </w:tcPr>
          <w:p>
            <w:pPr>
              <w:spacing w:after="0"/>
              <w:rPr>
                <w:sz w:val="21"/>
                <w:szCs w:val="2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 attributable to members</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9,675</w:t>
            </w: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16,659</w:t>
            </w:r>
          </w:p>
        </w:tc>
        <w:tc>
          <w:tcPr>
            <w:tcW w:w="60" w:type="dxa"/>
            <w:vAlign w:val="bottom"/>
            <w:shd w:val="clear" w:color="auto" w:fill="E5FFFF"/>
          </w:tcPr>
          <w:p>
            <w:pPr>
              <w:spacing w:after="0"/>
              <w:rPr>
                <w:sz w:val="21"/>
                <w:szCs w:val="2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At April 30, 2025, the Company owned United States Treasury Bills (classified as short-term investments) that had an amortized cost, or carrying value, of approximately $156.0 million. The contractual maturity of these investments was less than one year. The yield to maturity rate was approximately 4.3%. Unrecognized holding losses at April 30, 2025 were approximately $94,000.</w:t>
      </w:r>
    </w:p>
    <w:p>
      <w:pPr>
        <w:spacing w:after="0" w:line="20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At January 31, 2025, the Company owned United States Treasury Bills (classified as short-term investments) that had an amortized cost, or carrying value, of approximately $162.8 million. The contractual maturity of these investments was less than one year. The yield to maturity rate was approximately 4.4%. Unrecognized holding losses at January 31, 2025 were approximately $19,000.</w:t>
      </w:r>
    </w:p>
    <w:p>
      <w:pPr>
        <w:spacing w:after="0" w:line="20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vested based on the Company’s TSR compared to the TSRs of companies that comprise the Russell 2000 Index over a three-year performance period (see below).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2025, 1,065,809 shares remain available for issuance under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80" w:firstLine="648"/>
        <w:spacing w:after="0" w:line="239" w:lineRule="auto"/>
        <w:rPr>
          <w:sz w:val="20"/>
          <w:szCs w:val="20"/>
          <w:color w:val="auto"/>
        </w:rPr>
      </w:pPr>
      <w:r>
        <w:rPr>
          <w:rFonts w:ascii="Times New Roman" w:cs="Times New Roman" w:eastAsia="Times New Roman" w:hAnsi="Times New Roman"/>
          <w:sz w:val="22"/>
          <w:szCs w:val="22"/>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 Company’s board of directors has determined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that the grant date will be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or the next business day if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is not a business day, for all grants of restricted stock.</w:t>
      </w:r>
    </w:p>
    <w:p>
      <w:pPr>
        <w:spacing w:after="0" w:line="14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are expensed at grant date, based on grant date fair value, thus considered vested for accounting purposes. At April 30, 2025, 20,046 shares were unvested for accounting purposes and unrecognized compensation cost related to these nonvested restricted stock awards was approximately $465,000, to be recognized over a weighted average vesting term of 1.8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non-vested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440" w:type="dxa"/>
            <w:vAlign w:val="bottom"/>
          </w:tcPr>
          <w:p>
            <w:pPr>
              <w:spacing w:after="0"/>
              <w:rPr>
                <w:sz w:val="24"/>
                <w:szCs w:val="24"/>
                <w:color w:val="auto"/>
              </w:rPr>
            </w:pPr>
          </w:p>
        </w:tc>
        <w:tc>
          <w:tcPr>
            <w:tcW w:w="5000" w:type="dxa"/>
            <w:vAlign w:val="bottom"/>
            <w:gridSpan w:val="9"/>
          </w:tcPr>
          <w:p>
            <w:pPr>
              <w:ind w:left="800"/>
              <w:spacing w:after="0"/>
              <w:rPr>
                <w:sz w:val="20"/>
                <w:szCs w:val="20"/>
                <w:color w:val="auto"/>
              </w:rPr>
            </w:pPr>
            <w:r>
              <w:rPr>
                <w:rFonts w:ascii="Times New Roman" w:cs="Times New Roman" w:eastAsia="Times New Roman" w:hAnsi="Times New Roman"/>
                <w:sz w:val="22"/>
                <w:szCs w:val="22"/>
                <w:b w:val="1"/>
                <w:bCs w:val="1"/>
                <w:color w:val="auto"/>
              </w:rPr>
              <w:t>Three Months Ended April 30, 2025</w:t>
            </w:r>
          </w:p>
        </w:tc>
        <w:tc>
          <w:tcPr>
            <w:tcW w:w="0" w:type="dxa"/>
            <w:vAlign w:val="bottom"/>
          </w:tcPr>
          <w:p>
            <w:pPr>
              <w:spacing w:after="0"/>
              <w:rPr>
                <w:sz w:val="1"/>
                <w:szCs w:val="1"/>
                <w:color w:val="auto"/>
              </w:rPr>
            </w:pPr>
          </w:p>
        </w:tc>
      </w:tr>
      <w:tr>
        <w:trPr>
          <w:trHeight w:val="443"/>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40" w:type="dxa"/>
            <w:vAlign w:val="bottom"/>
          </w:tcPr>
          <w:p>
            <w:pPr>
              <w:spacing w:after="0"/>
              <w:rPr>
                <w:sz w:val="24"/>
                <w:szCs w:val="24"/>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Average Grant</w:t>
            </w:r>
          </w:p>
        </w:tc>
        <w:tc>
          <w:tcPr>
            <w:tcW w:w="20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Average Remaining</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40" w:type="dxa"/>
            <w:vAlign w:val="bottom"/>
          </w:tcPr>
          <w:p>
            <w:pPr>
              <w:spacing w:after="0"/>
              <w:rPr>
                <w:sz w:val="21"/>
                <w:szCs w:val="21"/>
                <w:color w:val="auto"/>
              </w:rPr>
            </w:pPr>
          </w:p>
        </w:tc>
        <w:tc>
          <w:tcPr>
            <w:tcW w:w="1640" w:type="dxa"/>
            <w:vAlign w:val="bottom"/>
            <w:gridSpan w:val="3"/>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40" w:type="dxa"/>
            <w:vAlign w:val="bottom"/>
          </w:tcPr>
          <w:p>
            <w:pPr>
              <w:spacing w:after="0"/>
              <w:rPr>
                <w:sz w:val="21"/>
                <w:szCs w:val="21"/>
                <w:color w:val="auto"/>
              </w:rPr>
            </w:pPr>
          </w:p>
        </w:tc>
        <w:tc>
          <w:tcPr>
            <w:tcW w:w="18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3"/>
                <w:szCs w:val="2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40" w:type="dxa"/>
            <w:vAlign w:val="bottom"/>
          </w:tcPr>
          <w:p>
            <w:pPr>
              <w:spacing w:after="0"/>
              <w:rPr>
                <w:sz w:val="23"/>
                <w:szCs w:val="23"/>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(in years)</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2025</w:t>
            </w:r>
          </w:p>
        </w:tc>
        <w:tc>
          <w:tcPr>
            <w:tcW w:w="120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162,392</w:t>
            </w:r>
          </w:p>
        </w:tc>
        <w:tc>
          <w:tcPr>
            <w:tcW w:w="3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19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2025</w:t>
            </w:r>
          </w:p>
        </w:tc>
        <w:tc>
          <w:tcPr>
            <w:tcW w:w="12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22"/>
                <w:szCs w:val="22"/>
                <w:color w:val="auto"/>
              </w:rPr>
              <w:t>162,392</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22"/>
                <w:szCs w:val="22"/>
                <w:color w:val="auto"/>
              </w:rPr>
              <w:t>6,190</w:t>
            </w:r>
          </w:p>
        </w:tc>
        <w:tc>
          <w:tcPr>
            <w:tcW w:w="19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E5FFFF"/>
            </w:tcBorders>
            <w:gridSpan w:val="2"/>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440" w:type="dxa"/>
            <w:vAlign w:val="bottom"/>
          </w:tcPr>
          <w:p>
            <w:pPr>
              <w:spacing w:after="0"/>
              <w:rPr>
                <w:sz w:val="24"/>
                <w:szCs w:val="24"/>
                <w:color w:val="auto"/>
              </w:rPr>
            </w:pPr>
          </w:p>
        </w:tc>
        <w:tc>
          <w:tcPr>
            <w:tcW w:w="5000" w:type="dxa"/>
            <w:vAlign w:val="bottom"/>
            <w:gridSpan w:val="9"/>
          </w:tcPr>
          <w:p>
            <w:pPr>
              <w:ind w:left="800"/>
              <w:spacing w:after="0"/>
              <w:rPr>
                <w:sz w:val="20"/>
                <w:szCs w:val="20"/>
                <w:color w:val="auto"/>
              </w:rPr>
            </w:pPr>
            <w:r>
              <w:rPr>
                <w:rFonts w:ascii="Times New Roman" w:cs="Times New Roman" w:eastAsia="Times New Roman" w:hAnsi="Times New Roman"/>
                <w:sz w:val="22"/>
                <w:szCs w:val="22"/>
                <w:b w:val="1"/>
                <w:bCs w:val="1"/>
                <w:color w:val="auto"/>
              </w:rPr>
              <w:t>Three Months Ended April 30, 2024</w:t>
            </w:r>
          </w:p>
        </w:tc>
        <w:tc>
          <w:tcPr>
            <w:tcW w:w="0" w:type="dxa"/>
            <w:vAlign w:val="bottom"/>
          </w:tcPr>
          <w:p>
            <w:pPr>
              <w:spacing w:after="0"/>
              <w:rPr>
                <w:sz w:val="1"/>
                <w:szCs w:val="1"/>
                <w:color w:val="auto"/>
              </w:rPr>
            </w:pPr>
          </w:p>
        </w:tc>
      </w:tr>
      <w:tr>
        <w:trPr>
          <w:trHeight w:val="443"/>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40" w:type="dxa"/>
            <w:vAlign w:val="bottom"/>
          </w:tcPr>
          <w:p>
            <w:pPr>
              <w:spacing w:after="0"/>
              <w:rPr>
                <w:sz w:val="24"/>
                <w:szCs w:val="24"/>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Average Grant</w:t>
            </w:r>
          </w:p>
        </w:tc>
        <w:tc>
          <w:tcPr>
            <w:tcW w:w="20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Average Remaining</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40" w:type="dxa"/>
            <w:vAlign w:val="bottom"/>
          </w:tcPr>
          <w:p>
            <w:pPr>
              <w:spacing w:after="0"/>
              <w:rPr>
                <w:sz w:val="21"/>
                <w:szCs w:val="21"/>
                <w:color w:val="auto"/>
              </w:rPr>
            </w:pPr>
          </w:p>
        </w:tc>
        <w:tc>
          <w:tcPr>
            <w:tcW w:w="1640" w:type="dxa"/>
            <w:vAlign w:val="bottom"/>
            <w:gridSpan w:val="3"/>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40" w:type="dxa"/>
            <w:vAlign w:val="bottom"/>
          </w:tcPr>
          <w:p>
            <w:pPr>
              <w:spacing w:after="0"/>
              <w:rPr>
                <w:sz w:val="21"/>
                <w:szCs w:val="21"/>
                <w:color w:val="auto"/>
              </w:rPr>
            </w:pPr>
          </w:p>
        </w:tc>
        <w:tc>
          <w:tcPr>
            <w:tcW w:w="188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Vesting Term</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3"/>
                <w:szCs w:val="2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40" w:type="dxa"/>
            <w:vAlign w:val="bottom"/>
          </w:tcPr>
          <w:p>
            <w:pPr>
              <w:spacing w:after="0"/>
              <w:rPr>
                <w:sz w:val="23"/>
                <w:szCs w:val="23"/>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(in years)</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2024</w:t>
            </w:r>
          </w:p>
        </w:tc>
        <w:tc>
          <w:tcPr>
            <w:tcW w:w="120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3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19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2024</w:t>
            </w:r>
          </w:p>
        </w:tc>
        <w:tc>
          <w:tcPr>
            <w:tcW w:w="12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22"/>
                <w:szCs w:val="22"/>
                <w:color w:val="auto"/>
              </w:rPr>
              <w:t>162,855</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22"/>
                <w:szCs w:val="22"/>
                <w:color w:val="auto"/>
              </w:rPr>
              <w:t>5,369</w:t>
            </w:r>
          </w:p>
        </w:tc>
        <w:tc>
          <w:tcPr>
            <w:tcW w:w="19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with a performance period that ended on December 31, 2024. The number of RSUs eligible to vest ranged from zero percent to</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20" w:name="page21"/>
    <w:bookmarkEnd w:id="20"/>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two-hundred percent and was determined based on how the Company’s TSR compared to the TSR of companies that comprised the Russell 2000 Index during the performance period ending December 31, 2024. The calculated payout of the units that vested was 148%, or 99,900 shares, and the shares were issued on February 26, 2025.</w:t>
      </w:r>
    </w:p>
    <w:p>
      <w:pPr>
        <w:spacing w:after="0" w:line="200"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Company did not recognize any compensation cost related to RSUs in the three-month period ended April 30, 2025. The Company recognized compensation cost related to RSUs of approximately $0.3 million in the three-month period ended April 30, 2024.</w:t>
      </w:r>
    </w:p>
    <w:p>
      <w:pPr>
        <w:spacing w:after="0" w:line="20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For the three-month period ended April 30, 2024, we calculated the diluted weighted average shares as follows (amounts in thousands):</w:t>
      </w:r>
    </w:p>
    <w:p>
      <w:pPr>
        <w:sectPr>
          <w:pgSz w:w="11900" w:h="16838" w:orient="portrait"/>
          <w:cols w:equalWidth="0" w:num="1">
            <w:col w:w="11180"/>
          </w:cols>
          <w:pgMar w:left="320" w:top="39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0"/>
        <w:spacing w:after="0" w:line="268" w:lineRule="auto"/>
        <w:rPr>
          <w:sz w:val="20"/>
          <w:szCs w:val="20"/>
          <w:color w:val="auto"/>
        </w:rPr>
      </w:pPr>
      <w:r>
        <w:rPr>
          <w:rFonts w:ascii="Times New Roman" w:cs="Times New Roman" w:eastAsia="Times New Roman" w:hAnsi="Times New Roman"/>
          <w:sz w:val="21"/>
          <w:szCs w:val="21"/>
          <w:color w:val="auto"/>
        </w:rPr>
        <w:t>Weighted average shares – basic Dilutive effect of RSUs Weighted average shares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462915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462915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9150" cy="1797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Three Months Ended</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April 30, 2024</w:t>
      </w:r>
    </w:p>
    <w:p>
      <w:pPr>
        <w:ind w:left="720"/>
        <w:spacing w:after="0"/>
        <w:rPr>
          <w:sz w:val="20"/>
          <w:szCs w:val="20"/>
          <w:color w:val="auto"/>
        </w:rPr>
      </w:pPr>
      <w:r>
        <w:rPr>
          <w:rFonts w:ascii="Times New Roman" w:cs="Times New Roman" w:eastAsia="Times New Roman" w:hAnsi="Times New Roman"/>
          <w:sz w:val="22"/>
          <w:szCs w:val="22"/>
          <w:color w:val="auto"/>
        </w:rPr>
        <w:t>17,546</w:t>
      </w:r>
    </w:p>
    <w:p>
      <w:pPr>
        <w:spacing w:after="0" w:line="4"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118</w:t>
      </w:r>
    </w:p>
    <w:p>
      <w:pPr>
        <w:spacing w:after="0" w:line="5"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u w:val="single" w:color="auto"/>
          <w:color w:val="auto"/>
        </w:rPr>
        <w:t>17,664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20320</wp:posOffset>
            </wp:positionV>
            <wp:extent cx="4197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4560" w:space="720"/>
            <w:col w:w="5900"/>
          </w:cols>
          <w:pgMar w:left="320" w:top="396" w:right="399" w:bottom="1440" w:gutter="0" w:footer="0" w:header="0"/>
          <w:type w:val="continuous"/>
        </w:sectPr>
      </w:pPr>
    </w:p>
    <w:p>
      <w:pPr>
        <w:spacing w:after="0" w:line="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The Company’s income tax provision was approximately $3.0 million and $3.7 million for the three months ended April 30, 2025 and 2024, respectively.</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2022 related to refined coal production tax credits pursuant to </w:t>
      </w:r>
      <w:r>
        <w:rPr>
          <w:rFonts w:ascii="Times New Roman" w:cs="Times New Roman" w:eastAsia="Times New Roman" w:hAnsi="Times New Roman"/>
          <w:sz w:val="22"/>
          <w:szCs w:val="22"/>
          <w:color w:val="002060"/>
        </w:rPr>
        <w:t>IRC</w:t>
      </w:r>
      <w:r>
        <w:rPr>
          <w:rFonts w:ascii="Times New Roman" w:cs="Times New Roman" w:eastAsia="Times New Roman" w:hAnsi="Times New Roman"/>
          <w:sz w:val="22"/>
          <w:szCs w:val="22"/>
          <w:color w:val="auto"/>
        </w:rPr>
        <w:t xml:space="preserve"> Section 45 and research and experimentation credits pursuant to IRC Section 41 claimed during those years.</w:t>
      </w:r>
    </w:p>
    <w:p>
      <w:pPr>
        <w:spacing w:after="0" w:line="204"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type w:val="continuous"/>
        </w:sectPr>
      </w:pPr>
    </w:p>
    <w:bookmarkStart w:id="21" w:name="page22"/>
    <w:bookmarkEnd w:id="21"/>
    <w:p>
      <w:pPr>
        <w:ind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for the three-month periods ended April 30, 2025 and 2024,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57"/>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4"/>
        </w:trPr>
        <w:tc>
          <w:tcPr>
            <w:tcW w:w="5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6"/>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18,978</w:t>
            </w:r>
          </w:p>
        </w:tc>
        <w:tc>
          <w:tcPr>
            <w:tcW w:w="300" w:type="dxa"/>
            <w:vAlign w:val="bottom"/>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60" w:type="dxa"/>
            <w:vAlign w:val="bottom"/>
            <w:shd w:val="clear" w:color="auto" w:fill="E5FFFF"/>
          </w:tcPr>
          <w:p>
            <w:pPr>
              <w:spacing w:after="0"/>
              <w:rPr>
                <w:sz w:val="21"/>
                <w:szCs w:val="21"/>
                <w:color w:val="auto"/>
              </w:rPr>
            </w:pP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180" w:type="dxa"/>
            <w:vAlign w:val="bottom"/>
          </w:tcPr>
          <w:p>
            <w:pPr>
              <w:spacing w:after="0"/>
              <w:rPr>
                <w:sz w:val="21"/>
                <w:szCs w:val="21"/>
                <w:color w:val="auto"/>
              </w:rPr>
            </w:pP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30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60" w:type="dxa"/>
            <w:vAlign w:val="bottom"/>
          </w:tcPr>
          <w:p>
            <w:pPr>
              <w:spacing w:after="0"/>
              <w:rPr>
                <w:sz w:val="21"/>
                <w:szCs w:val="21"/>
                <w:color w:val="auto"/>
              </w:rPr>
            </w:pPr>
          </w:p>
        </w:tc>
      </w:tr>
      <w:tr>
        <w:trPr>
          <w:trHeight w:val="256"/>
        </w:trPr>
        <w:tc>
          <w:tcPr>
            <w:tcW w:w="58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18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E5FFFF"/>
          </w:tcPr>
          <w:p>
            <w:pPr>
              <w:spacing w:after="0"/>
              <w:rPr>
                <w:sz w:val="22"/>
                <w:szCs w:val="22"/>
                <w:color w:val="auto"/>
              </w:rPr>
            </w:pPr>
          </w:p>
        </w:tc>
        <w:tc>
          <w:tcPr>
            <w:tcW w:w="8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E5FFFF"/>
          </w:tcPr>
          <w:p>
            <w:pPr>
              <w:spacing w:after="0"/>
              <w:rPr>
                <w:sz w:val="22"/>
                <w:szCs w:val="22"/>
                <w:color w:val="auto"/>
              </w:rPr>
            </w:pPr>
          </w:p>
        </w:tc>
      </w:tr>
      <w:tr>
        <w:trPr>
          <w:trHeight w:val="250"/>
        </w:trPr>
        <w:tc>
          <w:tcPr>
            <w:tcW w:w="58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18,985</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18,972</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At April 30, 2025 and January 31, 2025 the unrecognized tax benefits were included within the following lines on the accompanying Consolidated Balance Sheets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0" w:type="dxa"/>
            <w:vAlign w:val="bottom"/>
          </w:tcPr>
          <w:p>
            <w:pPr>
              <w:spacing w:after="0"/>
              <w:rPr>
                <w:sz w:val="1"/>
                <w:szCs w:val="1"/>
                <w:color w:val="auto"/>
              </w:rPr>
            </w:pPr>
          </w:p>
        </w:tc>
      </w:tr>
      <w:tr>
        <w:trPr>
          <w:trHeight w:val="274"/>
        </w:trPr>
        <w:tc>
          <w:tcPr>
            <w:tcW w:w="58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Refundable income taxes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0" w:type="dxa"/>
            <w:vAlign w:val="bottom"/>
          </w:tcPr>
          <w:p>
            <w:pPr>
              <w:spacing w:after="0"/>
              <w:rPr>
                <w:sz w:val="1"/>
                <w:szCs w:val="1"/>
                <w:color w:val="auto"/>
              </w:rPr>
            </w:pP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120" w:type="dxa"/>
            <w:vAlign w:val="bottom"/>
          </w:tcPr>
          <w:p>
            <w:pPr>
              <w:spacing w:after="0"/>
              <w:rPr>
                <w:sz w:val="21"/>
                <w:szCs w:val="21"/>
                <w:color w:val="auto"/>
              </w:rPr>
            </w:pPr>
          </w:p>
        </w:tc>
        <w:tc>
          <w:tcPr>
            <w:tcW w:w="13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11,759</w:t>
            </w:r>
          </w:p>
        </w:tc>
        <w:tc>
          <w:tcPr>
            <w:tcW w:w="220" w:type="dxa"/>
            <w:vAlign w:val="bottom"/>
          </w:tcPr>
          <w:p>
            <w:pPr>
              <w:spacing w:after="0"/>
              <w:rPr>
                <w:sz w:val="21"/>
                <w:szCs w:val="21"/>
                <w:color w:val="auto"/>
              </w:rPr>
            </w:pPr>
          </w:p>
        </w:tc>
        <w:tc>
          <w:tcPr>
            <w:tcW w:w="9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12,037</w:t>
            </w:r>
          </w:p>
        </w:tc>
        <w:tc>
          <w:tcPr>
            <w:tcW w:w="0" w:type="dxa"/>
            <w:vAlign w:val="bottom"/>
          </w:tcPr>
          <w:p>
            <w:pPr>
              <w:spacing w:after="0"/>
              <w:rPr>
                <w:sz w:val="1"/>
                <w:szCs w:val="1"/>
                <w:color w:val="auto"/>
              </w:rPr>
            </w:pP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Long-term taxes payable</w:t>
            </w:r>
          </w:p>
        </w:tc>
        <w:tc>
          <w:tcPr>
            <w:tcW w:w="120" w:type="dxa"/>
            <w:vAlign w:val="bottom"/>
            <w:shd w:val="clear" w:color="auto" w:fill="E5FFFF"/>
          </w:tcPr>
          <w:p>
            <w:pPr>
              <w:spacing w:after="0"/>
              <w:rPr>
                <w:sz w:val="21"/>
                <w:szCs w:val="21"/>
                <w:color w:val="auto"/>
              </w:rPr>
            </w:pPr>
          </w:p>
        </w:tc>
        <w:tc>
          <w:tcPr>
            <w:tcW w:w="13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4,613</w:t>
            </w:r>
          </w:p>
        </w:tc>
        <w:tc>
          <w:tcPr>
            <w:tcW w:w="2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4,334</w:t>
            </w:r>
          </w:p>
        </w:tc>
        <w:tc>
          <w:tcPr>
            <w:tcW w:w="0" w:type="dxa"/>
            <w:vAlign w:val="bottom"/>
          </w:tcPr>
          <w:p>
            <w:pPr>
              <w:spacing w:after="0"/>
              <w:rPr>
                <w:sz w:val="1"/>
                <w:szCs w:val="1"/>
                <w:color w:val="auto"/>
              </w:rPr>
            </w:pP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12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611</w:t>
            </w: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605</w:t>
            </w:r>
          </w:p>
        </w:tc>
        <w:tc>
          <w:tcPr>
            <w:tcW w:w="0" w:type="dxa"/>
            <w:vAlign w:val="bottom"/>
          </w:tcPr>
          <w:p>
            <w:pPr>
              <w:spacing w:after="0"/>
              <w:rPr>
                <w:sz w:val="1"/>
                <w:szCs w:val="1"/>
                <w:color w:val="auto"/>
              </w:rPr>
            </w:pPr>
          </w:p>
        </w:tc>
      </w:tr>
      <w:tr>
        <w:trPr>
          <w:trHeight w:val="236"/>
        </w:trPr>
        <w:tc>
          <w:tcPr>
            <w:tcW w:w="5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Unrecognized tax benefits, end of period</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3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18,985</w:t>
            </w:r>
          </w:p>
        </w:tc>
        <w:tc>
          <w:tcPr>
            <w:tcW w:w="2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18,978</w:t>
            </w:r>
          </w:p>
        </w:tc>
        <w:tc>
          <w:tcPr>
            <w:tcW w:w="0" w:type="dxa"/>
            <w:vAlign w:val="bottom"/>
          </w:tcPr>
          <w:p>
            <w:pPr>
              <w:spacing w:after="0"/>
              <w:rPr>
                <w:sz w:val="1"/>
                <w:szCs w:val="1"/>
                <w:color w:val="auto"/>
              </w:rPr>
            </w:pPr>
          </w:p>
        </w:tc>
      </w:tr>
      <w:tr>
        <w:trPr>
          <w:trHeight w:val="20"/>
        </w:trPr>
        <w:tc>
          <w:tcPr>
            <w:tcW w:w="58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material liabilities recorded for legal actions at April 30, 2025 and January 31, 2025, as the Company did not believe that there was a probable and reasonably estimable significant loss associated with any legal contingencies.</w:t>
      </w:r>
    </w:p>
    <w:p>
      <w:pPr>
        <w:spacing w:after="0" w:line="204" w:lineRule="exact"/>
        <w:rPr>
          <w:sz w:val="20"/>
          <w:szCs w:val="20"/>
          <w:color w:val="auto"/>
        </w:rPr>
      </w:pPr>
    </w:p>
    <w:p>
      <w:pPr>
        <w:ind w:right="620" w:firstLine="648"/>
        <w:spacing w:after="0" w:line="244" w:lineRule="auto"/>
        <w:rPr>
          <w:sz w:val="20"/>
          <w:szCs w:val="20"/>
          <w:color w:val="auto"/>
        </w:rPr>
      </w:pPr>
      <w:r>
        <w:rPr>
          <w:rFonts w:ascii="Times New Roman" w:cs="Times New Roman" w:eastAsia="Times New Roman" w:hAnsi="Times New Roman"/>
          <w:sz w:val="22"/>
          <w:szCs w:val="22"/>
          <w:color w:val="auto"/>
        </w:rPr>
        <w:t>At April 30, 2025, One Earth and NuGen had combined forward purchase contracts for approximately 17.6 million bushels of corn, the principal raw material for their ethanol plants, and they had combined forward purchase contracts for approximately 0.8 million MmBtu (million British thermal unit) of natural gas.</w:t>
      </w:r>
    </w:p>
    <w:p>
      <w:pPr>
        <w:spacing w:after="0" w:line="20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At April 30, 2025, One Earth and NuGen had combined sales commitments for approximately 51.4 million gallons of ethanol, approximately 89,500 tons of distillers grains and approximately 7.9 million pounds of distillers corn oil.</w:t>
      </w:r>
    </w:p>
    <w:p>
      <w:pPr>
        <w:spacing w:after="0" w:line="185"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One Earth has entered into a 10-year agreement in 2009 with an unrelated party for the use of a portion of that party’s natural gas pipeline. A new 15-year agreement, with monthly payments of $29,250</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2" w:name="page23"/>
    <w:bookmarkEnd w:id="22"/>
    <w:p>
      <w:pPr>
        <w:ind w:right="160"/>
        <w:spacing w:after="0" w:line="258" w:lineRule="auto"/>
        <w:rPr>
          <w:sz w:val="20"/>
          <w:szCs w:val="20"/>
          <w:color w:val="auto"/>
        </w:rPr>
      </w:pPr>
      <w:r>
        <w:rPr>
          <w:rFonts w:ascii="Times New Roman" w:cs="Times New Roman" w:eastAsia="Times New Roman" w:hAnsi="Times New Roman"/>
          <w:sz w:val="22"/>
          <w:szCs w:val="22"/>
          <w:color w:val="auto"/>
        </w:rPr>
        <w:t>was effective February 1, 2019. One Earth paid approximately $88,000 in both of the three month periods ended April 30, 2025 and 2024 pursuant to the agreement.</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At April 30, 2025, One Earth had signed non-cancelable contracts for capital projects with approximately $24.6 million remaining in future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During the first quarters of fiscal year 2025 and 2024, One Earth and NuGen purchased approximately $24.8 million and $30.6 million, respectively, of corn (and other supplies) from minority equity investors and board members of those affiliates. The Company had amounts payable to related parties of approximately $2.2 million and $1.4 million at April 30, 2025 and January 31, 2025,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Segment Reporting</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207"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Company’s chief operating decision maker is the Executive Committee that includes the Executive Chairman of the Board and the Chief Executive Officer. The chief operating decision maker uses net income generated from operating segments in determining the allocation of resources and making assessment of Company performance.</w:t>
      </w:r>
    </w:p>
    <w:p>
      <w:pPr>
        <w:spacing w:after="0" w:line="20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 each of which is reviewed in the same manner by the chief operating decision maker.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measure of segment assets is reported on the balance sheet as total consolidated assets.</w:t>
      </w:r>
    </w:p>
    <w:p>
      <w:pPr>
        <w:spacing w:after="0" w:line="1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23" w:name="page24"/>
    <w:bookmarkEnd w:id="23"/>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tables set forth certain financial data for the Company’s reportable segment for the three-month periods ended April 30, 2025 and 2024 (in thousands):</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sales and revenue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Ethanol and by-products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2580"/>
        <w:spacing w:after="0" w:line="271" w:lineRule="auto"/>
        <w:rPr>
          <w:sz w:val="20"/>
          <w:szCs w:val="20"/>
          <w:color w:val="auto"/>
        </w:rPr>
      </w:pPr>
      <w:r>
        <w:rPr>
          <w:rFonts w:ascii="Times New Roman" w:cs="Times New Roman" w:eastAsia="Times New Roman" w:hAnsi="Times New Roman"/>
          <w:sz w:val="21"/>
          <w:szCs w:val="21"/>
          <w:color w:val="auto"/>
        </w:rPr>
        <w:t>Reconciling Item: Equity method ethanol investment Total consolidated net sales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30,</w:t>
      </w:r>
    </w:p>
    <w:p>
      <w:pPr>
        <w:ind w:left="580"/>
        <w:spacing w:after="0"/>
        <w:tabs>
          <w:tab w:leader="none" w:pos="2340" w:val="left"/>
        </w:tabs>
        <w:rPr>
          <w:sz w:val="20"/>
          <w:szCs w:val="20"/>
          <w:color w:val="auto"/>
        </w:rPr>
      </w:pPr>
      <w:r>
        <w:rPr>
          <w:rFonts w:ascii="Times New Roman" w:cs="Times New Roman" w:eastAsia="Times New Roman" w:hAnsi="Times New Roman"/>
          <w:sz w:val="22"/>
          <w:szCs w:val="22"/>
          <w:b w:val="1"/>
          <w:bCs w:val="1"/>
          <w:color w:val="auto"/>
        </w:rPr>
        <w:t>2025</w:t>
      </w:r>
      <w:r>
        <w:rPr>
          <w:sz w:val="20"/>
          <w:szCs w:val="20"/>
          <w:color w:val="auto"/>
        </w:rPr>
        <w:tab/>
      </w:r>
      <w:r>
        <w:rPr>
          <w:rFonts w:ascii="Times New Roman" w:cs="Times New Roman" w:eastAsia="Times New Roman" w:hAnsi="Times New Roman"/>
          <w:sz w:val="22"/>
          <w:szCs w:val="2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-3810</wp:posOffset>
            </wp:positionV>
            <wp:extent cx="198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89" w:lineRule="exact"/>
        <w:rPr>
          <w:sz w:val="20"/>
          <w:szCs w:val="20"/>
          <w:color w:val="auto"/>
        </w:rPr>
      </w:pPr>
    </w:p>
    <w:p>
      <w:pPr>
        <w:spacing w:after="0"/>
        <w:tabs>
          <w:tab w:leader="none" w:pos="740" w:val="left"/>
          <w:tab w:leader="none" w:pos="1780" w:val="left"/>
          <w:tab w:leader="none" w:pos="25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430,643</w:t>
        <w:tab/>
        <w:t>$</w:t>
      </w:r>
      <w:r>
        <w:rPr>
          <w:sz w:val="20"/>
          <w:szCs w:val="20"/>
          <w:color w:val="auto"/>
        </w:rPr>
        <w:tab/>
      </w:r>
      <w:r>
        <w:rPr>
          <w:rFonts w:ascii="Times New Roman" w:cs="Times New Roman" w:eastAsia="Times New Roman" w:hAnsi="Times New Roman"/>
          <w:sz w:val="21"/>
          <w:szCs w:val="21"/>
          <w:color w:val="auto"/>
        </w:rPr>
        <w:t>434,217</w:t>
      </w:r>
    </w:p>
    <w:p>
      <w:pPr>
        <w:spacing w:after="0" w:line="28" w:lineRule="exact"/>
        <w:rPr>
          <w:sz w:val="20"/>
          <w:szCs w:val="20"/>
          <w:color w:val="auto"/>
        </w:rPr>
      </w:pPr>
    </w:p>
    <w:p>
      <w:pPr>
        <w:jc w:val="both"/>
        <w:ind w:left="700"/>
        <w:spacing w:after="0"/>
        <w:tabs>
          <w:tab w:leader="none" w:pos="2460" w:val="left"/>
        </w:tabs>
        <w:rPr>
          <w:sz w:val="20"/>
          <w:szCs w:val="20"/>
          <w:color w:val="auto"/>
        </w:rPr>
      </w:pPr>
      <w:r>
        <w:rPr>
          <w:rFonts w:ascii="Times New Roman" w:cs="Times New Roman" w:eastAsia="Times New Roman" w:hAnsi="Times New Roman"/>
          <w:sz w:val="22"/>
          <w:szCs w:val="22"/>
          <w:color w:val="auto"/>
        </w:rPr>
        <w:t>(272,303)</w:t>
      </w:r>
      <w:r>
        <w:rPr>
          <w:sz w:val="20"/>
          <w:szCs w:val="20"/>
          <w:color w:val="auto"/>
        </w:rPr>
        <w:tab/>
      </w:r>
      <w:r>
        <w:rPr>
          <w:rFonts w:ascii="Times New Roman" w:cs="Times New Roman" w:eastAsia="Times New Roman" w:hAnsi="Times New Roman"/>
          <w:sz w:val="22"/>
          <w:szCs w:val="22"/>
          <w:color w:val="auto"/>
        </w:rPr>
        <w:t>(272,986)</w:t>
      </w:r>
    </w:p>
    <w:p>
      <w:pPr>
        <w:spacing w:after="0" w:line="5" w:lineRule="exact"/>
        <w:rPr>
          <w:sz w:val="20"/>
          <w:szCs w:val="20"/>
          <w:color w:val="auto"/>
        </w:rPr>
      </w:pPr>
    </w:p>
    <w:p>
      <w:pPr>
        <w:spacing w:after="0"/>
        <w:tabs>
          <w:tab w:leader="none" w:pos="740" w:val="left"/>
          <w:tab w:leader="none" w:pos="1780" w:val="left"/>
          <w:tab w:leader="none" w:pos="25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158,340</w:t>
        <w:tab/>
        <w:t>$</w:t>
      </w:r>
      <w:r>
        <w:rPr>
          <w:sz w:val="20"/>
          <w:szCs w:val="20"/>
          <w:color w:val="auto"/>
        </w:rPr>
        <w:tab/>
      </w:r>
      <w:r>
        <w:rPr>
          <w:rFonts w:ascii="Times New Roman" w:cs="Times New Roman" w:eastAsia="Times New Roman" w:hAnsi="Times New Roman"/>
          <w:sz w:val="21"/>
          <w:szCs w:val="21"/>
          <w:color w:val="auto"/>
        </w:rPr>
        <w:t>161,231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21342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160" w:space="720"/>
            <w:col w:w="3360"/>
          </w:cols>
          <w:pgMar w:left="320" w:top="396"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4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Cost of corn</w:t>
            </w:r>
          </w:p>
        </w:tc>
        <w:tc>
          <w:tcPr>
            <w:tcW w:w="1860" w:type="dxa"/>
            <w:vAlign w:val="bottom"/>
            <w:gridSpan w:val="2"/>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280,365</w:t>
            </w:r>
          </w:p>
        </w:tc>
        <w:tc>
          <w:tcPr>
            <w:tcW w:w="600" w:type="dxa"/>
            <w:vAlign w:val="bottom"/>
            <w:gridSpan w:val="2"/>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292,680</w:t>
            </w:r>
          </w:p>
        </w:tc>
        <w:tc>
          <w:tcPr>
            <w:tcW w:w="0" w:type="dxa"/>
            <w:vAlign w:val="bottom"/>
          </w:tcPr>
          <w:p>
            <w:pPr>
              <w:spacing w:after="0"/>
              <w:rPr>
                <w:sz w:val="1"/>
                <w:szCs w:val="1"/>
                <w:color w:val="auto"/>
              </w:rPr>
            </w:pPr>
          </w:p>
        </w:tc>
      </w:tr>
      <w:tr>
        <w:trPr>
          <w:trHeight w:val="243"/>
        </w:trPr>
        <w:tc>
          <w:tcPr>
            <w:tcW w:w="6420" w:type="dxa"/>
            <w:vAlign w:val="bottom"/>
            <w:shd w:val="clear" w:color="auto" w:fill="E5FFFF"/>
          </w:tcPr>
          <w:p>
            <w:pPr>
              <w:ind w:left="360"/>
              <w:spacing w:after="0" w:line="243" w:lineRule="exact"/>
              <w:rPr>
                <w:sz w:val="20"/>
                <w:szCs w:val="20"/>
                <w:color w:val="auto"/>
              </w:rPr>
            </w:pPr>
            <w:r>
              <w:rPr>
                <w:rFonts w:ascii="Times New Roman" w:cs="Times New Roman" w:eastAsia="Times New Roman" w:hAnsi="Times New Roman"/>
                <w:sz w:val="22"/>
                <w:szCs w:val="22"/>
                <w:color w:val="auto"/>
              </w:rPr>
              <w:t>Other cost of sales (1)</w:t>
            </w:r>
          </w:p>
        </w:tc>
        <w:tc>
          <w:tcPr>
            <w:tcW w:w="14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121,686</w:t>
            </w:r>
          </w:p>
        </w:tc>
        <w:tc>
          <w:tcPr>
            <w:tcW w:w="2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108,824</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46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(258,053)</w:t>
            </w:r>
          </w:p>
        </w:tc>
        <w:tc>
          <w:tcPr>
            <w:tcW w:w="20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(254,724)</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cost of sales</w:t>
            </w:r>
          </w:p>
        </w:tc>
        <w:tc>
          <w:tcPr>
            <w:tcW w:w="146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143,998</w:t>
            </w:r>
          </w:p>
        </w:tc>
        <w:tc>
          <w:tcPr>
            <w:tcW w:w="20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146,780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60" w:type="dxa"/>
            <w:vAlign w:val="bottom"/>
            <w:gridSpan w:val="2"/>
            <w:shd w:val="clear" w:color="auto" w:fill="E5FFFF"/>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28,592</w:t>
            </w:r>
          </w:p>
        </w:tc>
        <w:tc>
          <w:tcPr>
            <w:tcW w:w="60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32,713</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46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(14,250)</w:t>
            </w:r>
          </w:p>
        </w:tc>
        <w:tc>
          <w:tcPr>
            <w:tcW w:w="20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(18,262)</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gross profit</w:t>
            </w:r>
          </w:p>
        </w:tc>
        <w:tc>
          <w:tcPr>
            <w:tcW w:w="146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14,342</w:t>
            </w:r>
          </w:p>
        </w:tc>
        <w:tc>
          <w:tcPr>
            <w:tcW w:w="20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14,451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Depreciation and amortization expense</w:t>
            </w: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60" w:type="dxa"/>
            <w:vAlign w:val="bottom"/>
            <w:gridSpan w:val="2"/>
            <w:shd w:val="clear" w:color="auto" w:fill="E5FFFF"/>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10,239</w:t>
            </w:r>
          </w:p>
        </w:tc>
        <w:tc>
          <w:tcPr>
            <w:tcW w:w="60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14,556</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46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(5,220)</w:t>
            </w:r>
          </w:p>
        </w:tc>
        <w:tc>
          <w:tcPr>
            <w:tcW w:w="20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(8,664)</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depreciation and amortization expense</w:t>
            </w:r>
          </w:p>
        </w:tc>
        <w:tc>
          <w:tcPr>
            <w:tcW w:w="146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5,019</w:t>
            </w:r>
          </w:p>
        </w:tc>
        <w:tc>
          <w:tcPr>
            <w:tcW w:w="20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5,892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taxes</w:t>
            </w: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4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60" w:type="dxa"/>
            <w:vAlign w:val="bottom"/>
            <w:gridSpan w:val="2"/>
            <w:shd w:val="clear" w:color="auto" w:fill="E5FFFF"/>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25,362</w:t>
            </w:r>
          </w:p>
        </w:tc>
        <w:tc>
          <w:tcPr>
            <w:tcW w:w="60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35,125</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46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(11,736)</w:t>
            </w:r>
          </w:p>
        </w:tc>
        <w:tc>
          <w:tcPr>
            <w:tcW w:w="20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(19,162)</w:t>
            </w:r>
          </w:p>
        </w:tc>
        <w:tc>
          <w:tcPr>
            <w:tcW w:w="0" w:type="dxa"/>
            <w:vAlign w:val="bottom"/>
          </w:tcPr>
          <w:p>
            <w:pPr>
              <w:spacing w:after="0"/>
              <w:rPr>
                <w:sz w:val="1"/>
                <w:szCs w:val="1"/>
                <w:color w:val="auto"/>
              </w:rPr>
            </w:pPr>
          </w:p>
        </w:tc>
      </w:tr>
      <w:tr>
        <w:trPr>
          <w:trHeight w:val="236"/>
        </w:trPr>
        <w:tc>
          <w:tcPr>
            <w:tcW w:w="642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consolidated income before income taxes</w:t>
            </w:r>
          </w:p>
        </w:tc>
        <w:tc>
          <w:tcPr>
            <w:tcW w:w="146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200" w:type="dxa"/>
            <w:vAlign w:val="bottom"/>
            <w:shd w:val="clear" w:color="auto" w:fill="E5FF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13,626</w:t>
            </w:r>
          </w:p>
        </w:tc>
        <w:tc>
          <w:tcPr>
            <w:tcW w:w="20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16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15,963</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146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(2,954)</w:t>
            </w:r>
          </w:p>
        </w:tc>
        <w:tc>
          <w:tcPr>
            <w:tcW w:w="200" w:type="dxa"/>
            <w:vAlign w:val="bottom"/>
            <w:tcBorders>
              <w:bottom w:val="single" w:sz="8" w:color="E5FF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(3,690)</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net income</w:t>
            </w:r>
          </w:p>
        </w:tc>
        <w:tc>
          <w:tcPr>
            <w:tcW w:w="146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10,672</w:t>
            </w:r>
          </w:p>
        </w:tc>
        <w:tc>
          <w:tcPr>
            <w:tcW w:w="200" w:type="dxa"/>
            <w:vAlign w:val="bottom"/>
            <w:tcBorders>
              <w:bottom w:val="single" w:sz="8" w:color="E5FFFF"/>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12,273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40" w:right="20" w:hanging="332"/>
        <w:spacing w:after="0" w:line="244" w:lineRule="auto"/>
        <w:tabs>
          <w:tab w:leader="none" w:pos="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within “Other cost of sales” consist primarily of depreciation, other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At April 30, 2025, we had investments in three ethanol limited liability companies, in two of which we have a majority ownership interest. The following table is a summary of ethanol entity ownership interests at April 30, 2025:</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760" w:type="dxa"/>
            <w:vAlign w:val="bottom"/>
            <w:tcBorders>
              <w:top w:val="single" w:sz="8" w:color="auto"/>
              <w:left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jc w:val="right"/>
              <w:ind w:right="35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240" w:type="dxa"/>
            <w:vAlign w:val="bottom"/>
            <w:tcBorders>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24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7"/>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2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2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75.9%</w:t>
            </w:r>
          </w:p>
        </w:tc>
      </w:tr>
      <w:tr>
        <w:trPr>
          <w:trHeight w:val="237"/>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2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2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67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2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67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Boyceville, WI</w:t>
            </w:r>
          </w:p>
        </w:tc>
        <w:tc>
          <w:tcPr>
            <w:tcW w:w="2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5" w:name="page26"/>
    <w:bookmarkEnd w:id="25"/>
    <w:p>
      <w:pPr>
        <w:ind w:right="20"/>
        <w:spacing w:after="0" w:line="238" w:lineRule="auto"/>
        <w:rPr>
          <w:sz w:val="20"/>
          <w:szCs w:val="20"/>
          <w:color w:val="auto"/>
        </w:rPr>
      </w:pPr>
      <w:r>
        <w:rPr>
          <w:rFonts w:ascii="Times New Roman" w:cs="Times New Roman" w:eastAsia="Times New Roman" w:hAnsi="Times New Roman"/>
          <w:sz w:val="22"/>
          <w:szCs w:val="22"/>
          <w:color w:val="auto"/>
        </w:rPr>
        <w:t>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One Earth Sequestration, LLC, a wholly owned subsidiary of One Earth Energy, LLC, is in the developmental stage of a carbon sequestration project near the One Earth ethanol plant. In October 2022, we applied for a Class VI injection well permit for three wells with the EPA, and we continue to provide information to the EPA upon request during the technical review of our application. We currently expect the EPA to prepare a draft permit by November 2025 and make a final permit decision by April 2026, according to the EPA’s Class VI Permit Tracker Dashboard on their website. We also need to obtain a county special-use zoning permit for the sequestration site. We have completed the construction of the capture and compression facility to capture, dehydrate, and compress carbon dioxide from the One Earth ethanol plant to a state suitable for sequestration. Testing has not yet been completed and we cannot begin construction of the pipeline or sequestration well until further permits and approvals are received.</w:t>
      </w:r>
    </w:p>
    <w:p>
      <w:pPr>
        <w:spacing w:after="0" w:line="210"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1"/>
          <w:szCs w:val="21"/>
          <w:color w:val="auto"/>
        </w:rPr>
        <w:t>We have secured land easements from all necessary landowners to allow the construction of a pipeline on their land to the first two injection wells. We also have landowner subsurface easements for the first injection well with the capacity to allow for carbon sequestration for our One Earth plant for 15 years. The Illinois General Assembly passed the Safety and Aid for the Environment in Carbon Capture and Sequestration Act (Senate Bill 1289), which was signed by the Governor in July 2024. The new legislation imposes additional safety, environmental and other requirements on obtaining permits and approvals for carbon capture and sequestration facilities in Illinois, including CO2 pipelines. Further, the new legislation imposes a moratorium on the issuance of new certificates of authority for the construction of CO2 pipelines until the earlier of the date federal CO2 pipeline safety standards are finalized by the federal PHMSA or, subject to certain other conditions, July 1, 2026.</w:t>
      </w:r>
    </w:p>
    <w:p>
      <w:pPr>
        <w:spacing w:after="0" w:line="19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 Also see the discussion under “Trends and Uncertainties” of certain recently proposed legislation that, if enacted, could impact our carbon sequestration project.</w:t>
      </w:r>
    </w:p>
    <w:p>
      <w:pPr>
        <w:spacing w:after="0" w:line="20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We also intend to concurrently expand the One Earth ethanol plant. We received a construction permit from the EPA to increase production from 150 million gallons of ethanol per year to 175 million gallons of ethanol per year. Once we achieve that level of production, we intend to apply for another permit to increase production to 200 million gallons per year.</w:t>
      </w:r>
    </w:p>
    <w:p>
      <w:pPr>
        <w:spacing w:after="0" w:line="200"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We continue to work to identify ways to reduce our CI score at the One Earth plant with the intention of maximizing tax credits available under the IRA. The IRA created a new Clean Fuel Production Credit, available for calendar years 2025 – 2027, which established a credit of approximately $0.02 per ethanol gallon per CI point reduction below a 50 CI score threshold to incentivize further increases in plant efficiencies within the industry. The U.S. Department of the Treasury has not yet issued final rules on qualification for 45Z tax credits.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ind w:firstLine="648"/>
        <w:spacing w:after="0" w:line="234" w:lineRule="auto"/>
        <w:rPr>
          <w:sz w:val="20"/>
          <w:szCs w:val="20"/>
          <w:color w:val="auto"/>
        </w:rPr>
      </w:pPr>
      <w:r>
        <w:rPr>
          <w:rFonts w:ascii="Times New Roman" w:cs="Times New Roman" w:eastAsia="Times New Roman" w:hAnsi="Times New Roman"/>
          <w:sz w:val="22"/>
          <w:szCs w:val="22"/>
          <w:color w:val="auto"/>
        </w:rPr>
        <w:t>We currently budget capital expenditures for both projects to be approximately $220 million to $230 million, subject to further refinement as we move forward. We plan to pay for all expenditures from available cash. As of April 30, 2025, we had spent $56.3 million since inception and were contractually committed to spend an additional $0.9 million toward the carbon sequestration project. If the carbon sequestration project is successful, we believe we will qualify for tax credits under section 45Q, based on tons of carbon sequestered, and section 45Z, based on gallons of ethanol produced, as outlined in the IRA. However, 45Z credits are only available for calendar years 2025 – 2027 and the regulations have not yet been finalized by the U.S. Department of the Treasury. Companies may elect either the 45Q credit or the 45Z credit in periods in which both tax credits are available. As of April 30, 2025, we had spent $66.4 million since inception and were contractually committed to spend an additional $8.3 million toward plant capacity expansion and ongoing efforts to reduce our CI scoring.</w:t>
      </w:r>
    </w:p>
    <w:p>
      <w:pPr>
        <w:spacing w:after="0" w:line="210"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carbon dioxide output of its ethanol production facility for sequestration, as well as reduce its net carbon emissions. In March 2025, South Dakota signed a bill into law that bans the use of eminent domain in connection with carbon dioxide pipelines. This act could make the sequestration project for the NuGen facility more difficult to complete.</w:t>
      </w:r>
    </w:p>
    <w:p>
      <w:pPr>
        <w:spacing w:after="0" w:line="208" w:lineRule="exact"/>
        <w:rPr>
          <w:sz w:val="20"/>
          <w:szCs w:val="20"/>
          <w:color w:val="auto"/>
        </w:rPr>
      </w:pPr>
    </w:p>
    <w:p>
      <w:pPr>
        <w:ind w:right="360" w:firstLine="648"/>
        <w:spacing w:after="0" w:line="244" w:lineRule="auto"/>
        <w:rPr>
          <w:sz w:val="20"/>
          <w:szCs w:val="20"/>
          <w:color w:val="auto"/>
        </w:rPr>
      </w:pPr>
      <w:r>
        <w:rPr>
          <w:rFonts w:ascii="Times New Roman" w:cs="Times New Roman" w:eastAsia="Times New Roman" w:hAnsi="Times New Roman"/>
          <w:sz w:val="22"/>
          <w:szCs w:val="22"/>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approximately $58.2 million of federal production tax credits received through the ownership of this facility remain under IRS audit.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April 30, 2025, we did not change any of our critical accounting policies as disclosed in our 2024 Annual Report on Form 10-K as filed with the Securities and Exchange Commission on March 28, 2025.</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2025” means the period February 1, 2025 to January 31, 2026. The Company includes the results of operations of One Earth in its Consolidated Statements of Operations on a delayed basis of one month as One Earth has a fiscal year end of December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Renewable Fuel Standard II, established in October 2010, has been an important factor in the growth of ethanol usage in the United States. In recent years,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RINs.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There remain multiple ongoing legal challenges on how the EPA has handled the small refinery waivers. In July 2024, the U.S. Court of Appeals for the District of Columbia Circuit vacated many of the EPA’s 2022 SRE denials. The EPA had denied 105 SREs in 2022. As a result of this Court ruling, the EPA voluntarily moved to rescind the agency’s 2023 denial of 26 SREs. During the previous Trump administration, the EPA granted more SREs than under other administrations. These and additional SREs could lead to decreased RIN values and ethanol pricing. As of May 2025, there were 169 SRE petitions pending.</w:t>
      </w:r>
    </w:p>
    <w:p>
      <w:pPr>
        <w:spacing w:after="0" w:line="218"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EPA has issued Renewable Fuel Standard volume obligations for calendar years 2023-2025. The volumes from conventional biofuels (which includes corn-based ethanol) were 15.0 billion gallons for 2023 through 2025. Additionally, in 2023, the EPA restored 250 million gallons previously waived. The EPA was required to propose RVOs for 2026 by November 2024, but that deadline was missed. The EPA delivered the proposed 2026 RVOs to the White House Office of Management and Budget on May 14, 2025, which is the final step before being released to the public for comments.</w:t>
      </w:r>
    </w:p>
    <w:p>
      <w:pPr>
        <w:spacing w:after="0" w:line="204"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EPA has issued emergency waivers for the sale of E-15 gasoline for the 2025 summer months. This is the fourth consecutive year for these emergency waivers. The EPA has not granted E-15 the same Reid vapor pressure waiver as E-10, so absent the emergency waivers, E-15 may not be sold in most states from June 1 to September 15.</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 IRA may impact our business by creating a new Clean Fuel Production Credit, section 45Z, available for years 2025 to 2027. The Clean Fuel Production Credit is established at approximately $0.02</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2" w:right="379" w:bottom="1440" w:gutter="0" w:footer="0" w:header="0"/>
        </w:sectPr>
      </w:pPr>
    </w:p>
    <w:bookmarkStart w:id="28" w:name="page29"/>
    <w:bookmarkEnd w:id="28"/>
    <w:p>
      <w:pPr>
        <w:ind w:right="100"/>
        <w:spacing w:after="0" w:line="234" w:lineRule="auto"/>
        <w:rPr>
          <w:sz w:val="20"/>
          <w:szCs w:val="20"/>
          <w:color w:val="auto"/>
        </w:rPr>
      </w:pPr>
      <w:r>
        <w:rPr>
          <w:rFonts w:ascii="Times New Roman" w:cs="Times New Roman" w:eastAsia="Times New Roman" w:hAnsi="Times New Roman"/>
          <w:sz w:val="22"/>
          <w:szCs w:val="22"/>
          <w:color w:val="auto"/>
        </w:rPr>
        <w:t>per ethanol gallon per CI point reduction below a 50 CI score threshold. The Act also raises the carbon capture tax credit from $50 per metric ton to $85 per metric ton, under section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our renewable corn oil values, as this co-product serves as a low-carbon feedstock for renewable diesel and biomass based diesel production; (b) creating a new tax credit for synthetic aviation fuel; (c) funding biofuel refueling infrastructure which could impact the availability of higher level ethanol blended fuel; and (d) provision for production and purchase credits for electric vehicles, which could impact the amount of internal combustion engines on the road over time, and ultimately reduce the demand for gasoline, diesel fuels and ethanol.</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U.S. Congress is considering a budget and policy bill which, as initially passed by the House of Representatives, includes proposed amendments to the Inflation and Reduction Act. While there is no certainty at this time as to what will be included in any final legislation that actually becomes law, we are closely monitoring any changes to sections 45Q and 45Z of the Internal Revenue Code that could impact the economics of our carbon capture and sequestration project.</w:t>
      </w:r>
    </w:p>
    <w:p>
      <w:pPr>
        <w:spacing w:after="0" w:line="207" w:lineRule="exact"/>
        <w:rPr>
          <w:sz w:val="20"/>
          <w:szCs w:val="20"/>
          <w:color w:val="auto"/>
        </w:rPr>
      </w:pPr>
    </w:p>
    <w:p>
      <w:pPr>
        <w:ind w:right="220" w:firstLine="648"/>
        <w:spacing w:after="0" w:line="249" w:lineRule="auto"/>
        <w:rPr>
          <w:sz w:val="20"/>
          <w:szCs w:val="20"/>
          <w:color w:val="auto"/>
        </w:rPr>
      </w:pPr>
      <w:r>
        <w:rPr>
          <w:rFonts w:ascii="Times New Roman" w:cs="Times New Roman" w:eastAsia="Times New Roman" w:hAnsi="Times New Roman"/>
          <w:sz w:val="21"/>
          <w:szCs w:val="21"/>
          <w:color w:val="auto"/>
        </w:rPr>
        <w:t>In January 2025, the USDA released an interim rule on 45Z tax credits titled “Technical Guidelines for Climate-Smart Agriculture Crops Used as Biofuel Feedstocks”, or “CSA rule”. The rule helps to connect CSA practices used in the production of feedstock crops with reductions in the carbon footprint of the biofuels industries, laying out how practices that reduce greenhouse gas emissions or sequester carbon will be scored, on a county-by-county basis. These practices include no-till planting, cover crops and nitrogen inhibitors, which may be measured individually, rather than requiring bundling of practices. The interim rule is subject to a 60-day comment period with final resolution to be determined by the Trump administration.</w:t>
      </w:r>
    </w:p>
    <w:p>
      <w:pPr>
        <w:spacing w:after="0" w:line="198" w:lineRule="exact"/>
        <w:rPr>
          <w:sz w:val="20"/>
          <w:szCs w:val="20"/>
          <w:color w:val="auto"/>
        </w:rPr>
      </w:pPr>
    </w:p>
    <w:p>
      <w:pPr>
        <w:ind w:right="60" w:firstLine="972"/>
        <w:spacing w:after="0" w:line="233" w:lineRule="auto"/>
        <w:rPr>
          <w:sz w:val="20"/>
          <w:szCs w:val="20"/>
          <w:color w:val="auto"/>
        </w:rPr>
      </w:pPr>
      <w:r>
        <w:rPr>
          <w:rFonts w:ascii="Times New Roman" w:cs="Times New Roman" w:eastAsia="Times New Roman" w:hAnsi="Times New Roman"/>
          <w:sz w:val="22"/>
          <w:szCs w:val="22"/>
          <w:color w:val="auto"/>
        </w:rPr>
        <w:t>Illinois Senate Bill 3968 was introduced during the 2024 legislative session and assigned to the Senate Executive Committee. The bill proposed banning carbon sequestration projects located over, under, or through a sole-source aquifer, including the three adjacent watersheds that make up the Mahomet Sole Source Aquifer Project Review Area, a designation established by the EPA in March 2015. However, SB 3968 did not advance and was not enacted during that session. In the 2025 legislative session, Senate Bill 1723 was introduced with an amendment that defined the term “sole-source aquifer” to specifically refer to the Mahomet Sole Source Aquifer Area, as defined by the EPA. Under this definition, SB 1723 would prohibit carbon sequestration activities over, under, or through the aquifer as defined in the bill. The Illinois Senate passed SB 1723 on April 10, 2025 and on May 20, 2025, the Illinois House of Representatives approved the bill. The legislation now awaits the Governor’s consideration and potential signature into law. The first proposed injection well for our carbon sequestration project is located in the northern portion of the Sangamon River near Fisher Upstream Area watershed, and it lies outside the mapped boundary of the Mahomet Sole Source Aquifer as defined in SB 1723, approximately five miles north of the Sangamon River and about six miles beyond the aquifer’s mapped boundary. The second and third proposed injection well sites are also located outside the areas designated as part of the Mahomet Sole Source Aquifer Project Review Area. The Company continues to closely monitor the progress of SB 1723 and is actively evaluating any potential implications it may have for the development and permitting of our carbon sequestration project.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other uncertainties associated with our Illinois carbon sequestration and plant expansion projects.</w:t>
      </w:r>
    </w:p>
    <w:p>
      <w:pPr>
        <w:spacing w:after="0" w:line="185"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The approximately $58.2 million of federal production tax credits received through ownership of this facility remain under IRS audit.</w:t>
      </w:r>
    </w:p>
    <w:p>
      <w:pPr>
        <w:spacing w:after="0" w:line="20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United States exported an estimated 1.9 billion gallons of ethanol in 2024, up from approximately 1.4 and 1.3 billion gallons in 2023 and 2022, respectively. In 2024 and 2023, an estimated 12.2 and 10.8 million metric tons, respectively, of distillers grains were exported from the United States, which represented approximately 37% and 34% in 2024 and 2023, respectively, of U.S production. There has been much discussion around proposed and recently enacted tariffs by the United States and counter-tariffs and other trade restriction involving countries which have been large purchasers from our industry in the United States which could affect future demand for these products.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trends and uncertainties mentioned above could impact our future operating results in both positive and negative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Comparison of Three Months Ended April 30, 2025 and 2024</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gridSpan w:val="4"/>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9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320" w:type="dxa"/>
            <w:vAlign w:val="bottom"/>
            <w:gridSpan w:val="2"/>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158,340</w:t>
            </w: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161,231</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1080" w:type="dxa"/>
            <w:vAlign w:val="bottom"/>
            <w:tcBorders>
              <w:bottom w:val="single" w:sz="8" w:color="E5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143,998</w:t>
            </w:r>
          </w:p>
        </w:tc>
        <w:tc>
          <w:tcPr>
            <w:tcW w:w="460" w:type="dxa"/>
            <w:vAlign w:val="bottom"/>
            <w:tcBorders>
              <w:bottom w:val="single" w:sz="8" w:color="E5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146,780</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108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14,342</w:t>
            </w:r>
          </w:p>
        </w:tc>
        <w:tc>
          <w:tcPr>
            <w:tcW w:w="460" w:type="dxa"/>
            <w:vAlign w:val="bottom"/>
            <w:tcBorders>
              <w:bottom w:val="single" w:sz="8" w:color="E5FFFF"/>
            </w:tcBorders>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14,451</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vMerge w:val="continue"/>
          </w:tcPr>
          <w:p>
            <w:pPr>
              <w:spacing w:after="0"/>
              <w:rPr>
                <w:sz w:val="24"/>
                <w:szCs w:val="24"/>
                <w:color w:val="auto"/>
              </w:rPr>
            </w:pPr>
          </w:p>
        </w:tc>
        <w:tc>
          <w:tcPr>
            <w:tcW w:w="13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13,626</w:t>
            </w:r>
          </w:p>
        </w:tc>
        <w:tc>
          <w:tcPr>
            <w:tcW w:w="46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15,963</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1320" w:type="dxa"/>
            <w:vAlign w:val="bottom"/>
            <w:gridSpan w:val="2"/>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(2,954)</w:t>
            </w:r>
          </w:p>
        </w:tc>
        <w:tc>
          <w:tcPr>
            <w:tcW w:w="460" w:type="dxa"/>
            <w:vAlign w:val="bottom"/>
            <w:shd w:val="clear" w:color="auto" w:fill="E5FFFF"/>
          </w:tcPr>
          <w:p>
            <w:pPr>
              <w:spacing w:after="0"/>
              <w:rPr>
                <w:sz w:val="23"/>
                <w:szCs w:val="23"/>
                <w:color w:val="auto"/>
              </w:rPr>
            </w:pPr>
          </w:p>
        </w:tc>
        <w:tc>
          <w:tcPr>
            <w:tcW w:w="260" w:type="dxa"/>
            <w:vAlign w:val="bottom"/>
            <w:shd w:val="clear" w:color="auto" w:fill="E5FFFF"/>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(3,690)</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0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120" w:type="dxa"/>
            <w:vAlign w:val="bottom"/>
            <w:vMerge w:val="continue"/>
          </w:tcPr>
          <w:p>
            <w:pPr>
              <w:spacing w:after="0"/>
              <w:rPr>
                <w:sz w:val="24"/>
                <w:szCs w:val="24"/>
                <w:color w:val="auto"/>
              </w:rPr>
            </w:pPr>
          </w:p>
        </w:tc>
        <w:tc>
          <w:tcPr>
            <w:tcW w:w="13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8,678</w:t>
            </w:r>
          </w:p>
        </w:tc>
        <w:tc>
          <w:tcPr>
            <w:tcW w:w="46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10,191</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gridSpan w:val="7"/>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124,397</w:t>
            </w:r>
          </w:p>
        </w:tc>
        <w:tc>
          <w:tcPr>
            <w:tcW w:w="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119,427</w:t>
            </w: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2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22,286</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30,686</w:t>
            </w: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9,879</w:t>
            </w:r>
          </w:p>
        </w:tc>
        <w:tc>
          <w:tcPr>
            <w:tcW w:w="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9,805</w:t>
            </w: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2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1,623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1,197</w:t>
            </w: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w:t>
            </w: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40" w:type="dxa"/>
            <w:vAlign w:val="bottom"/>
            <w:tcBorders>
              <w:bottom w:val="single" w:sz="8" w:color="E5FFFF"/>
            </w:tcBorders>
          </w:tcPr>
          <w:p>
            <w:pPr>
              <w:spacing w:after="0"/>
              <w:rPr>
                <w:sz w:val="21"/>
                <w:szCs w:val="21"/>
                <w:color w:val="auto"/>
              </w:rPr>
            </w:pPr>
          </w:p>
        </w:tc>
        <w:tc>
          <w:tcPr>
            <w:tcW w:w="320" w:type="dxa"/>
            <w:vAlign w:val="bottom"/>
            <w:tcBorders>
              <w:bottom w:val="single" w:sz="8" w:color="E5FFFF"/>
            </w:tcBorders>
          </w:tcPr>
          <w:p>
            <w:pPr>
              <w:spacing w:after="0"/>
              <w:rPr>
                <w:sz w:val="21"/>
                <w:szCs w:val="21"/>
                <w:color w:val="auto"/>
              </w:rPr>
            </w:pPr>
          </w:p>
        </w:tc>
        <w:tc>
          <w:tcPr>
            <w:tcW w:w="100" w:type="dxa"/>
            <w:vAlign w:val="bottom"/>
            <w:tcBorders>
              <w:bottom w:val="single" w:sz="8" w:color="E5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40" w:type="dxa"/>
            <w:vAlign w:val="bottom"/>
            <w:tcBorders>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158,340</w:t>
            </w:r>
          </w:p>
        </w:tc>
        <w:tc>
          <w:tcPr>
            <w:tcW w:w="40" w:type="dxa"/>
            <w:vAlign w:val="bottom"/>
            <w:tcBorders>
              <w:bottom w:val="single" w:sz="8" w:color="E5FFFF"/>
            </w:tcBorders>
            <w:shd w:val="clear" w:color="auto" w:fill="E5FFFF"/>
          </w:tcPr>
          <w:p>
            <w:pPr>
              <w:spacing w:after="0"/>
              <w:rPr>
                <w:sz w:val="21"/>
                <w:szCs w:val="21"/>
                <w:color w:val="auto"/>
              </w:rPr>
            </w:pPr>
          </w:p>
        </w:tc>
        <w:tc>
          <w:tcPr>
            <w:tcW w:w="32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E5FFFF"/>
            </w:tcBorders>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gridSpan w:val="2"/>
            <w:shd w:val="clear" w:color="auto" w:fill="E5FFFF"/>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rPr>
              <w:t>161,231</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7"/>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5"/>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ind w:left="60"/>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1.76</w:t>
            </w:r>
          </w:p>
        </w:tc>
        <w:tc>
          <w:tcPr>
            <w:tcW w:w="3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24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70.9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ind w:left="60"/>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145.65</w:t>
            </w:r>
          </w:p>
        </w:tc>
        <w:tc>
          <w:tcPr>
            <w:tcW w:w="3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187.64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24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153,010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163,533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ind w:left="60"/>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0.46</w:t>
            </w:r>
          </w:p>
        </w:tc>
        <w:tc>
          <w:tcPr>
            <w:tcW w:w="3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0.47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24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21.4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ind w:left="60"/>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73.44</w:t>
            </w:r>
          </w:p>
        </w:tc>
        <w:tc>
          <w:tcPr>
            <w:tcW w:w="3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82.52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22,094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Net sales and revenue in the quarter ended April 30, 2025 decreased 2% compared to the prior year first quarter.</w:t>
      </w:r>
    </w:p>
    <w:p>
      <w:pPr>
        <w:spacing w:after="0" w:line="23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Ethanol revenue increased 4% in the first quarter of fiscal year 2025 compared to the first quarter of fiscal year 2024 as the selling price per gallon sold increased 10% during the first quarter of fiscal year 2025 compared to the prior year comparable period, partially offset by a 5% decrease in gallons of ethanol sold, impacted by lower production levels. The ethanol pricing increase was primarily driven by overall market supply and demand.</w:t>
      </w:r>
    </w:p>
    <w:p>
      <w:pPr>
        <w:spacing w:after="0" w:line="20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Dried distillers grains revenue decreased 27% in the first quarter of fiscal year 2025 compared to the first quarter of fiscal year 2024 as the average price per ton sold decreased 22%, coupled with a 6% decrease in tons sold. The decrease in the dried distillers grains selling price is consistent with recent quarters and reflects an extended period of lower corn pricing as dried distillers grains prices often correlate with corn pricing. The decrease in tons sold was partially offset by an increase in tons of modified distillers grains sold, but also impacted by lower production levels. Our consolidated plants’ decisions to sell modified or dried distillers grains fluctuate from time to time based upon market conditions.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1" w:name="page32"/>
    <w:bookmarkEnd w:id="31"/>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Distillers corn oil revenue increased approximately 1% in the first quarter of fiscal year 2025 compared to the first quarter of fiscal year 2024 as the amount of pounds sold increased 2%, offset by a 2% decrease in the average price per pound. The decrease in the distillers corn oil selling price resulted primarily from fluctuations in demand in the renewable biodiesel market which often reflects the price of soybean oil.</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Modified distillers grains revenue increased 36% in the first quarter of fiscal year 2025 compared to the first quarter of fiscal year 2024 as the amount of pounds sold increased by 52%, offset partially by a decrease in the average selling price per ton sold of 11%. The decrease in the modified distillers grains selling price resulted primarily from an extended period of lower corn prices as prices tend to move in the same direction. Our consolidated plants’ decisions to sell modified or dried distillers grains fluctuate from time to time based upon market conditions.</w:t>
      </w:r>
    </w:p>
    <w:p>
      <w:pPr>
        <w:spacing w:after="0" w:line="204"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Cost of sales decreased 2% in the quarter ended April 30, 2025, compared to the prior year first quarter. Corn accounted for approximately 74% ($106.3 million) of our cost of sales during the first quarter of fiscal year 2025 compared to approximately 75% ($110.6 million) during the first quarter of fiscal year 2024. Natural gas accounted for approximately 6% ($8.1 million) of our cost of sales during the first quarter of fiscal year 2025 and 5% ($7.1 million) in the first quarter of fiscal year 2024.</w:t>
      </w:r>
    </w:p>
    <w:p>
      <w:pPr>
        <w:spacing w:after="0" w:line="204"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gross profit for the first quarter of fiscal year 2025 decreased approximately $0.1 million compared to the prior year first quarter.</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210" w:lineRule="exact"/>
        <w:rPr>
          <w:sz w:val="20"/>
          <w:szCs w:val="20"/>
          <w:color w:val="auto"/>
        </w:rPr>
      </w:pPr>
    </w:p>
    <w:p>
      <w:pPr>
        <w:ind w:right="300" w:firstLine="648"/>
        <w:spacing w:after="0" w:line="251" w:lineRule="auto"/>
        <w:rPr>
          <w:sz w:val="20"/>
          <w:szCs w:val="20"/>
          <w:color w:val="auto"/>
        </w:rPr>
      </w:pPr>
      <w:r>
        <w:rPr>
          <w:rFonts w:ascii="Times New Roman" w:cs="Times New Roman" w:eastAsia="Times New Roman" w:hAnsi="Times New Roman"/>
          <w:sz w:val="21"/>
          <w:szCs w:val="21"/>
          <w:color w:val="auto"/>
        </w:rPr>
        <w:t>SG&amp;A expenses were approximately $5.9 million for the first quarter of fiscal year 2025, compared to approximately $6.1 million of expenses for the first quarter of fiscal year 2024. The decreases compared to the prior year first quarter are due primarily to a decrease in performance bonus expense of $0.2 million and a decrease in stock compensation expense of $0.3 million subsequent to the completion of the restricted stock units performance period on December 31, 2024. These decreases were partially offset by an increase in rail car lease expense due to higher rates realized upon lease renewals.</w:t>
      </w:r>
    </w:p>
    <w:p>
      <w:pPr>
        <w:spacing w:after="0" w:line="195"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During the first quarter of fiscal year 2025, we recognized income from our equity investment in Big River of approximately $1.0 million compared to income of approximately $1.7 million for the first quarter of fiscal year 2024. Our investment in Big River, which has interests in four ethanol production plants, represents an effective ownership of approximately 39.2 million gallons of ethanol shipped in the trailing twelve months ended April 30, 2025. Due to the inherent volatility of commodity prices within the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ethanol industry, we cannot predict the likelihood of future operating results from Big River being similar to historical results.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Interest and other income was approximately $4.2 million for the first quarter of fiscal year 2025 versus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 million for the first quarter of fiscal year 2024. The decrease is primarily related to decreased interest income of $1.3 million</w:t>
      </w:r>
    </w:p>
    <w:p>
      <w:pPr>
        <w:spacing w:after="0" w:line="231" w:lineRule="auto"/>
        <w:rPr>
          <w:sz w:val="20"/>
          <w:szCs w:val="20"/>
          <w:color w:val="auto"/>
        </w:rPr>
      </w:pPr>
      <w:r>
        <w:rPr>
          <w:rFonts w:ascii="Times New Roman" w:cs="Times New Roman" w:eastAsia="Times New Roman" w:hAnsi="Times New Roman"/>
          <w:sz w:val="22"/>
          <w:szCs w:val="22"/>
          <w:color w:val="auto"/>
        </w:rPr>
        <w:t>in the current year based upon lower balances and yields on our excess cash and short-term investments in fiscal year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compared to 2024. One of our consolidated ethanol plants recognized $0.5 million less in patronage income from an investment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 cooperative in the first quarter of 2025 ($0.7 million) compared to the first quarter of 2024 ($1.2 million). We do not expect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patronage income from this investment in a cooperative to be significant in future periods.</w:t>
      </w:r>
    </w:p>
    <w:p>
      <w:pPr>
        <w:spacing w:after="0" w:line="20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$13.6 million and $16.0 million for the first quarters of fiscal year 2025 and 2024, respectively.</w:t>
      </w:r>
    </w:p>
    <w:p>
      <w:pPr>
        <w:spacing w:after="0" w:line="185"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$3.0 million and $3.7 million for the three months ended April 30, 2025 and 2024, respectively.</w:t>
      </w:r>
    </w:p>
    <w:p>
      <w:pPr>
        <w:spacing w:after="0" w:line="200" w:lineRule="exact"/>
        <w:rPr>
          <w:sz w:val="20"/>
          <w:szCs w:val="20"/>
          <w:color w:val="auto"/>
        </w:rPr>
      </w:pPr>
    </w:p>
    <w:p>
      <w:pPr>
        <w:ind w:right="86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net income was approximately $10.7 million for the first quarter of fiscal year 2025 compared to approximately $12.3 million for the first quarter of fiscal year 2024.</w:t>
      </w:r>
    </w:p>
    <w:p>
      <w:pPr>
        <w:spacing w:after="0" w:line="18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$2.0 million for the first quarter of fiscal year 2025 and $2.1 million for the first quarter of 2024. These amounts represent the other owners’ share of the income of NuGen and One Earth.</w:t>
      </w:r>
    </w:p>
    <w:p>
      <w:pPr>
        <w:spacing w:after="0" w:line="200"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first quarter of fiscal year 2025 was approximately $8.7 million, compared to net income attributable to REX common shareholders of approximately $10.2 million for the first quarter of fiscal year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Net cash used in operating activities was approximately $3.5 million for the first quarter of fiscal year 2025, compared to net cash used in operating activities of approximately $2.3 million for the first quarter of fiscal year 2024. For the first quarter of fiscal year 2025, cash was provided by net income of approximately $10.7 million, adjusted upward for non-cash items of approximately $4.4 million, which consisted of depreciation, amortization of operating lease right-of-use assets, income from equity method investments, interest income from short-term investments, the deferred income tax provision, and stock-based compensation expense. An increase in the balance of accounts receivable used cash of approximately $6.5 million, primarily as a result of the timing of products shipped and the receipt of customer payments at One Earth and NuGen. Inventories decreased over the first quarter of fiscal year 2025, providing cash of approximately $1.2 million. A decrease in the balance of other assets of approximately $0.1 million primarily related to decreases in prepaid insurance as well as by changes in the carrying value of forward purchase contracts and commodity futures positions recorded at fair value, offset by increases in spare parts inventory and other prepaid balances. An increase in the balance of refundable income taxes of approximately $0.9 million primarily relates to the accrual of the federal taxes currently payable being less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3" w:name="page34"/>
    <w:bookmarkEnd w:id="33"/>
    <w:p>
      <w:pPr>
        <w:ind w:right="80"/>
        <w:spacing w:after="0" w:line="235" w:lineRule="auto"/>
        <w:rPr>
          <w:sz w:val="20"/>
          <w:szCs w:val="20"/>
          <w:color w:val="auto"/>
        </w:rPr>
      </w:pPr>
      <w:r>
        <w:rPr>
          <w:rFonts w:ascii="Times New Roman" w:cs="Times New Roman" w:eastAsia="Times New Roman" w:hAnsi="Times New Roman"/>
          <w:sz w:val="22"/>
          <w:szCs w:val="22"/>
          <w:color w:val="auto"/>
        </w:rPr>
        <w:t>than estimated federal tax payments made to date. While the Company has tax credits available to offset all amounts owed, the Company is limited to using tax credits for only 75% of federal taxes owed. A decrease in the balance of accounts payable used cash of approximately $8.9 million, which was primarily a result of the timing of inventory receipts and vendor payments. A decrease in the balance of other liabilities used cash of approximately $3.8 million, which was primarily caused by a decrease in accrued payroll which used cash of approximately $5.2 million, due to the timing of annual bonus payments. Additionally, a decrease in the lease liability used cash of $1.5 million based on payments made during the quarter. These decreases are partially offset by an increase in other current liabilities of $3.0 million.</w:t>
      </w:r>
    </w:p>
    <w:p>
      <w:pPr>
        <w:spacing w:after="0" w:line="21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Net cash used in operating activities was approximately $2.3 million for the first quarter of fiscal year 2024. For the first quarter of fiscal year 2024, cash was provided by net income of approximately $12.3 million, adjusted upward for non-cash items of approximately $5.6 million, which consisted of depreciation, amortization of operating lease right-of-use assets, income from equity method investments, interest income from short-term investments, the deferred income tax provision, and stock-based compensation expense. A decrease in the balance of accounts receivable provided cash of approximately $1.7 million, primarily a result of the timing of products shipped and the receipt of customer payments at One Earth and NuGen. Inventories were nearly flat over the first three months of fiscal year 2024. An increase in the balance of other assets of approximately $3.8 million primarily related to prepayments on certain executed lease agreements, offset by changes in the carrying value of forward purchase contracts and commodity futures positions recorded at fair value. A decrease in the balance of refundable income taxes of approximately $1.1 million primarily relates to the accrual of the federal taxes currently payable for first quarter of 2024. While the Company has tax credits available to offset all amounts owed, the Company is limited to using tax credits for only 75% of federal taxes owed. A decrease in the balance of accounts payable used cash of approximately $12.7 million, which was primarily a result of the timing of inventory receipts and vendor payments. A decrease in the balance of other liabilities used cash of approximately $6.2 million, which was primarily caused by a decrease in accrued payroll of approximately $5.4 million following the payment of fiscal year 2023 bonuses.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April 30, 2025, working capital was approximately $356.2 million, compared to $385.4 million at January 31,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9.4 to 1 at April 30, 2025 and 8.6 to 1 at January 31, 2025.</w:t>
      </w:r>
    </w:p>
    <w:p>
      <w:pPr>
        <w:spacing w:after="0" w:line="20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$1.8 million was provided by investing activities for the first quarter of fiscal year 2025, compared to cash provided by investing activities of approximately $11.9 million during the first quarter of fiscal year 2024. During the first quarter of fiscal year 2025, the Company had capital expenditures of approximately $6.9 million, primarily for various capital projects at our consolidated ethanol plants, including $5.1 million for expansion and CI scoring reduction projects at the One Earth facility and $0.7 million for the carbon sequestration project. During the first quarter of fiscal year 2025, we purchased short-term U.S. Treasury Bills of approximately $41.4 million, while U.S. Treasury Bills of approximately $50.0 million matured. The U.S Treasury Bills had maturities of less than one year and we classified them as short-term investments. Depending on the investment options available, we may elect to retain the funds, or a portion thereof, in cash, short-term investments or long-term investments.</w:t>
      </w:r>
    </w:p>
    <w:p>
      <w:pPr>
        <w:spacing w:after="0" w:line="210"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$11.9 million was provided by investing activities for the first quarter of fiscal year 2024. During the first quarter of fiscal year 2024, we had capital expenditures of approximately $24.8 million, primarily for various capital projects at our consolidated ethanol plants, including $10.1</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4" w:name="page35"/>
    <w:bookmarkEnd w:id="34"/>
    <w:p>
      <w:pPr>
        <w:ind w:right="40"/>
        <w:spacing w:after="0" w:line="239" w:lineRule="auto"/>
        <w:rPr>
          <w:sz w:val="20"/>
          <w:szCs w:val="20"/>
          <w:color w:val="auto"/>
        </w:rPr>
      </w:pPr>
      <w:r>
        <w:rPr>
          <w:rFonts w:ascii="Times New Roman" w:cs="Times New Roman" w:eastAsia="Times New Roman" w:hAnsi="Times New Roman"/>
          <w:sz w:val="22"/>
          <w:szCs w:val="22"/>
          <w:color w:val="auto"/>
        </w:rPr>
        <w:t>million for expansion and CI scoring reduction projects at the One Earth facility and $11.0 million for the carbon sequestration project. During the first quarter of fiscal year 2024, we purchased U.S. Treasury Bills of approximately $85.0 million. During the first quarter of fiscal year 2024 U.S. Treasury Bills of approximately $121.5 million matured. The U.S Treasury Bills had maturities of less than one year and we classified them as short-term investments.</w:t>
      </w:r>
    </w:p>
    <w:p>
      <w:pPr>
        <w:spacing w:after="0" w:line="207"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Cash of approximately $32.7 million was used in financing activities in the first quarter of fiscal year 2025 for the repurchase of the Company’s stock. There were no repurchases of Company stock in the first quarter of 2024. Additionally, $2.0 million was used in the first quarter of fiscal year 2025 for payments to non-controlling interests holders, compared to approximately $1.8 million for the first quarter of fiscal year 2024.</w:t>
      </w:r>
    </w:p>
    <w:p>
      <w:pPr>
        <w:spacing w:after="0" w:line="207"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We are investigating various uses for our excess cash and short-term investments. We expect total capital expenditures related to the construction at the One Earth facilities to approximate $220 million to $230 million, inclusive of the carbon sequestration project and plant capacity expansion and ongoing efforts to reduce CI scoring, which we currently plan to pay from our available cash. This estimate is subject to further refinement as the project progresses. As of April 30, 2025, we had spent $56.3 million since inception and were contractually committed to spend an additional $0.9 million toward the carbon sequestration project. As of April 30, 2025, we had spent $66.4 million since inception and were contractually committed to spend an additional $8.3 million toward plant capacity expansion and CI scoring reduction efforts. For all projects, we plan to spend $60 million to $80 million during the remainder of fiscal year 2025.</w:t>
      </w:r>
    </w:p>
    <w:p>
      <w:pPr>
        <w:spacing w:after="0" w:line="20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We have a stock buyback program with 1,181,963 shares remaining authorized at April 30, 2025. We typically repurchase our common stock when our stock price is trading at a price we deem to be a discount to the underlying value of our net assets. We continue to seek investment opportunities, including ethanol and/or energy related, carbon sequestration related, agricultural or other ventures, we believe meet our investment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and tariffs, changes in foreign currency exchange rates, the effects of terrorism or acts of war and the effect of pandemics on the Company’s business operations, including</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5" w:name="page36"/>
    <w:bookmarkEnd w:id="35"/>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2025 (File No. 001-09097).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60" w:firstLine="495"/>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April 30, 2025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380" w:type="dxa"/>
            <w:vAlign w:val="bottom"/>
            <w:gridSpan w:val="3"/>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1780" w:type="dxa"/>
            <w:vAlign w:val="bottom"/>
          </w:tcPr>
          <w:p>
            <w:pPr>
              <w:spacing w:after="0"/>
              <w:rPr>
                <w:sz w:val="21"/>
                <w:szCs w:val="21"/>
                <w:color w:val="auto"/>
              </w:rPr>
            </w:pPr>
          </w:p>
        </w:tc>
        <w:tc>
          <w:tcPr>
            <w:tcW w:w="16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400" w:type="dxa"/>
            <w:vAlign w:val="bottom"/>
            <w:gridSpan w:val="2"/>
            <w:vMerge w:val="continue"/>
          </w:tcPr>
          <w:p>
            <w:pPr>
              <w:spacing w:after="0"/>
              <w:rPr>
                <w:sz w:val="21"/>
                <w:szCs w:val="21"/>
                <w:color w:val="auto"/>
              </w:rPr>
            </w:pPr>
          </w:p>
        </w:tc>
        <w:tc>
          <w:tcPr>
            <w:tcW w:w="1780" w:type="dxa"/>
            <w:vAlign w:val="bottom"/>
          </w:tcPr>
          <w:p>
            <w:pPr>
              <w:spacing w:after="0"/>
              <w:rPr>
                <w:sz w:val="21"/>
                <w:szCs w:val="21"/>
                <w:color w:val="auto"/>
              </w:rPr>
            </w:pPr>
          </w:p>
        </w:tc>
        <w:tc>
          <w:tcPr>
            <w:tcW w:w="1600" w:type="dxa"/>
            <w:vAlign w:val="bottom"/>
            <w:gridSpan w:val="2"/>
          </w:tcPr>
          <w:p>
            <w:pPr>
              <w:jc w:val="right"/>
              <w:ind w:right="140"/>
              <w:spacing w:after="0" w:line="247" w:lineRule="exact"/>
              <w:rPr>
                <w:sz w:val="20"/>
                <w:szCs w:val="20"/>
                <w:color w:val="auto"/>
              </w:rPr>
            </w:pPr>
            <w:r>
              <w:rPr>
                <w:rFonts w:ascii="Times New Roman" w:cs="Times New Roman" w:eastAsia="Times New Roman" w:hAnsi="Times New Roman"/>
                <w:sz w:val="22"/>
                <w:szCs w:val="22"/>
                <w:b w:val="1"/>
                <w:bCs w:val="1"/>
                <w:color w:val="auto"/>
              </w:rPr>
              <w:t>12 Months</w:t>
            </w:r>
          </w:p>
        </w:tc>
        <w:tc>
          <w:tcPr>
            <w:tcW w:w="1940" w:type="dxa"/>
            <w:vAlign w:val="bottom"/>
            <w:gridSpan w:val="3"/>
          </w:tcPr>
          <w:p>
            <w:pPr>
              <w:ind w:left="140"/>
              <w:spacing w:after="0" w:line="247" w:lineRule="exact"/>
              <w:rPr>
                <w:sz w:val="20"/>
                <w:szCs w:val="20"/>
                <w:color w:val="auto"/>
              </w:rPr>
            </w:pPr>
            <w:r>
              <w:rPr>
                <w:rFonts w:ascii="Times New Roman" w:cs="Times New Roman" w:eastAsia="Times New Roman" w:hAnsi="Times New Roman"/>
                <w:sz w:val="22"/>
                <w:szCs w:val="22"/>
                <w:b w:val="1"/>
                <w:bCs w:val="1"/>
                <w:color w:val="auto"/>
              </w:rPr>
              <w:t>Unit of Measure</w:t>
            </w:r>
          </w:p>
        </w:tc>
        <w:tc>
          <w:tcPr>
            <w:tcW w:w="2460" w:type="dxa"/>
            <w:vAlign w:val="bottom"/>
            <w:gridSpan w:val="3"/>
          </w:tcPr>
          <w:p>
            <w:pPr>
              <w:jc w:val="right"/>
              <w:ind w:right="100"/>
              <w:spacing w:after="0" w:line="247" w:lineRule="exact"/>
              <w:rPr>
                <w:sz w:val="20"/>
                <w:szCs w:val="20"/>
                <w:color w:val="auto"/>
              </w:rPr>
            </w:pPr>
            <w:r>
              <w:rPr>
                <w:rFonts w:ascii="Times New Roman" w:cs="Times New Roman" w:eastAsia="Times New Roman" w:hAnsi="Times New Roman"/>
                <w:sz w:val="22"/>
                <w:szCs w:val="22"/>
                <w:b w:val="1"/>
                <w:bCs w:val="1"/>
                <w:color w:val="auto"/>
              </w:rPr>
              <w:t>Adverse Change in Price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E5FFFF"/>
          </w:tcPr>
          <w:p>
            <w:pPr>
              <w:spacing w:after="0"/>
              <w:rPr>
                <w:sz w:val="21"/>
                <w:szCs w:val="21"/>
                <w:color w:val="auto"/>
              </w:rPr>
            </w:pPr>
          </w:p>
        </w:tc>
        <w:tc>
          <w:tcPr>
            <w:tcW w:w="34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32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295,000</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51,422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3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102,100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42,626</w:t>
            </w:r>
          </w:p>
        </w:tc>
        <w:tc>
          <w:tcPr>
            <w:tcW w:w="0" w:type="dxa"/>
            <w:vAlign w:val="bottom"/>
          </w:tcPr>
          <w:p>
            <w:pPr>
              <w:spacing w:after="0"/>
              <w:rPr>
                <w:sz w:val="1"/>
                <w:szCs w:val="1"/>
                <w:color w:val="auto"/>
              </w:rPr>
            </w:pPr>
          </w:p>
        </w:tc>
      </w:tr>
      <w:tr>
        <w:trPr>
          <w:trHeight w:val="243"/>
        </w:trPr>
        <w:tc>
          <w:tcPr>
            <w:tcW w:w="60" w:type="dxa"/>
            <w:vAlign w:val="bottom"/>
            <w:shd w:val="clear" w:color="auto" w:fill="E5FFFF"/>
          </w:tcPr>
          <w:p>
            <w:pPr>
              <w:spacing w:after="0"/>
              <w:rPr>
                <w:sz w:val="21"/>
                <w:szCs w:val="21"/>
                <w:color w:val="auto"/>
              </w:rPr>
            </w:pPr>
          </w:p>
        </w:tc>
        <w:tc>
          <w:tcPr>
            <w:tcW w:w="34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32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718</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8,588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3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3,934</w:t>
            </w:r>
          </w:p>
        </w:tc>
        <w:tc>
          <w:tcPr>
            <w:tcW w:w="0" w:type="dxa"/>
            <w:vAlign w:val="bottom"/>
          </w:tcPr>
          <w:p>
            <w:pPr>
              <w:spacing w:after="0"/>
              <w:rPr>
                <w:sz w:val="1"/>
                <w:szCs w:val="1"/>
                <w:color w:val="auto"/>
              </w:rPr>
            </w:pPr>
          </w:p>
        </w:tc>
      </w:tr>
      <w:tr>
        <w:trPr>
          <w:trHeight w:val="243"/>
        </w:trPr>
        <w:tc>
          <w:tcPr>
            <w:tcW w:w="60" w:type="dxa"/>
            <w:vAlign w:val="bottom"/>
            <w:shd w:val="clear" w:color="auto" w:fill="E5FFFF"/>
          </w:tcPr>
          <w:p>
            <w:pPr>
              <w:spacing w:after="0"/>
              <w:rPr>
                <w:sz w:val="21"/>
                <w:szCs w:val="21"/>
                <w:color w:val="auto"/>
              </w:rPr>
            </w:pPr>
          </w:p>
        </w:tc>
        <w:tc>
          <w:tcPr>
            <w:tcW w:w="34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32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2,329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ectPr>
          <w:pgSz w:w="11900" w:h="16838" w:orient="portrait"/>
          <w:cols w:equalWidth="0" w:num="1">
            <w:col w:w="11240"/>
          </w:cols>
          <w:pgMar w:left="320" w:top="39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7" w:name="page38"/>
    <w:bookmarkEnd w:id="37"/>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with respect to the Company’s repurchase of its common stock during the period covered by this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60" w:type="dxa"/>
            <w:vAlign w:val="bottom"/>
            <w:gridSpan w:val="8"/>
          </w:tcPr>
          <w:p>
            <w:pPr>
              <w:ind w:left="1320"/>
              <w:spacing w:after="0"/>
              <w:rPr>
                <w:sz w:val="20"/>
                <w:szCs w:val="20"/>
                <w:color w:val="auto"/>
              </w:rPr>
            </w:pPr>
            <w:r>
              <w:rPr>
                <w:rFonts w:ascii="Times New Roman" w:cs="Times New Roman" w:eastAsia="Times New Roman" w:hAnsi="Times New Roman"/>
                <w:sz w:val="22"/>
                <w:szCs w:val="22"/>
                <w:b w:val="1"/>
                <w:bCs w:val="1"/>
                <w:color w:val="auto"/>
              </w:rPr>
              <w:t>Issuer Purchases of Equity Securities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0" w:type="dxa"/>
            <w:vAlign w:val="bottom"/>
          </w:tcPr>
          <w:p>
            <w:pPr>
              <w:spacing w:after="0"/>
              <w:rPr>
                <w:sz w:val="1"/>
                <w:szCs w:val="1"/>
                <w:color w:val="auto"/>
              </w:rPr>
            </w:pPr>
          </w:p>
        </w:tc>
      </w:tr>
      <w:tr>
        <w:trPr>
          <w:trHeight w:val="200"/>
        </w:trPr>
        <w:tc>
          <w:tcPr>
            <w:tcW w:w="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0" w:type="dxa"/>
            <w:vAlign w:val="bottom"/>
            <w:gridSpan w:val="2"/>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Number of</w:t>
            </w: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of Shares that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320" w:type="dxa"/>
            <w:vAlign w:val="bottom"/>
            <w:gridSpan w:val="3"/>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w:t>
            </w:r>
          </w:p>
        </w:tc>
        <w:tc>
          <w:tcPr>
            <w:tcW w:w="220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Purchased</w:t>
            </w: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Yet Be</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Number</w:t>
            </w:r>
          </w:p>
        </w:tc>
        <w:tc>
          <w:tcPr>
            <w:tcW w:w="140" w:type="dxa"/>
            <w:vAlign w:val="bottom"/>
          </w:tcPr>
          <w:p>
            <w:pPr>
              <w:spacing w:after="0"/>
              <w:rPr>
                <w:sz w:val="21"/>
                <w:szCs w:val="21"/>
                <w:color w:val="auto"/>
              </w:rPr>
            </w:pPr>
          </w:p>
        </w:tc>
        <w:tc>
          <w:tcPr>
            <w:tcW w:w="1180" w:type="dxa"/>
            <w:vAlign w:val="bottom"/>
            <w:gridSpan w:val="2"/>
          </w:tcPr>
          <w:p>
            <w:pPr>
              <w:jc w:val="center"/>
              <w:ind w:right="5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Price</w:t>
            </w:r>
          </w:p>
        </w:tc>
        <w:tc>
          <w:tcPr>
            <w:tcW w:w="2200" w:type="dxa"/>
            <w:vAlign w:val="bottom"/>
            <w:gridSpan w:val="2"/>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as Part of Publicly</w:t>
            </w: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Purchased</w:t>
            </w:r>
          </w:p>
        </w:tc>
        <w:tc>
          <w:tcPr>
            <w:tcW w:w="0" w:type="dxa"/>
            <w:vAlign w:val="bottom"/>
          </w:tcPr>
          <w:p>
            <w:pPr>
              <w:spacing w:after="0"/>
              <w:rPr>
                <w:sz w:val="1"/>
                <w:szCs w:val="1"/>
                <w:color w:val="auto"/>
              </w:rPr>
            </w:pPr>
          </w:p>
        </w:tc>
      </w:tr>
      <w:tr>
        <w:trPr>
          <w:trHeight w:val="243"/>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320" w:type="dxa"/>
            <w:vAlign w:val="bottom"/>
          </w:tcPr>
          <w:p>
            <w:pPr>
              <w:spacing w:after="0"/>
              <w:rPr>
                <w:sz w:val="21"/>
                <w:szCs w:val="21"/>
                <w:color w:val="auto"/>
              </w:rPr>
            </w:pPr>
          </w:p>
        </w:tc>
        <w:tc>
          <w:tcPr>
            <w:tcW w:w="142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Shares</w:t>
            </w:r>
          </w:p>
        </w:tc>
        <w:tc>
          <w:tcPr>
            <w:tcW w:w="1320" w:type="dxa"/>
            <w:vAlign w:val="bottom"/>
            <w:gridSpan w:val="3"/>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Paid per</w:t>
            </w:r>
          </w:p>
        </w:tc>
        <w:tc>
          <w:tcPr>
            <w:tcW w:w="2200" w:type="dxa"/>
            <w:vAlign w:val="bottom"/>
            <w:gridSpan w:val="2"/>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Announced Plans</w:t>
            </w: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Under the Plans</w:t>
            </w:r>
          </w:p>
        </w:tc>
        <w:tc>
          <w:tcPr>
            <w:tcW w:w="0" w:type="dxa"/>
            <w:vAlign w:val="bottom"/>
          </w:tcPr>
          <w:p>
            <w:pPr>
              <w:spacing w:after="0"/>
              <w:rPr>
                <w:sz w:val="1"/>
                <w:szCs w:val="1"/>
                <w:color w:val="auto"/>
              </w:rPr>
            </w:pPr>
          </w:p>
        </w:tc>
      </w:tr>
      <w:tr>
        <w:trPr>
          <w:trHeight w:val="247"/>
        </w:trPr>
        <w:tc>
          <w:tcPr>
            <w:tcW w:w="3080" w:type="dxa"/>
            <w:vAlign w:val="bottom"/>
            <w:gridSpan w:val="2"/>
            <w:vMerge w:val="continue"/>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gridSpan w:val="2"/>
          </w:tcPr>
          <w:p>
            <w:pPr>
              <w:jc w:val="center"/>
              <w:ind w:right="440"/>
              <w:spacing w:after="0" w:line="247" w:lineRule="exact"/>
              <w:rPr>
                <w:sz w:val="20"/>
                <w:szCs w:val="20"/>
                <w:color w:val="auto"/>
              </w:rPr>
            </w:pPr>
            <w:r>
              <w:rPr>
                <w:rFonts w:ascii="Times New Roman" w:cs="Times New Roman" w:eastAsia="Times New Roman" w:hAnsi="Times New Roman"/>
                <w:sz w:val="22"/>
                <w:szCs w:val="22"/>
                <w:b w:val="1"/>
                <w:bCs w:val="1"/>
                <w:color w:val="auto"/>
                <w:w w:val="98"/>
              </w:rPr>
              <w:t>Purchased</w:t>
            </w:r>
          </w:p>
        </w:tc>
        <w:tc>
          <w:tcPr>
            <w:tcW w:w="140" w:type="dxa"/>
            <w:vAlign w:val="bottom"/>
          </w:tcPr>
          <w:p>
            <w:pPr>
              <w:spacing w:after="0"/>
              <w:rPr>
                <w:sz w:val="21"/>
                <w:szCs w:val="21"/>
                <w:color w:val="auto"/>
              </w:rPr>
            </w:pPr>
          </w:p>
        </w:tc>
        <w:tc>
          <w:tcPr>
            <w:tcW w:w="1180" w:type="dxa"/>
            <w:vAlign w:val="bottom"/>
            <w:gridSpan w:val="2"/>
          </w:tcPr>
          <w:p>
            <w:pPr>
              <w:jc w:val="center"/>
              <w:ind w:right="580"/>
              <w:spacing w:after="0" w:line="247" w:lineRule="exact"/>
              <w:rPr>
                <w:sz w:val="20"/>
                <w:szCs w:val="20"/>
                <w:color w:val="auto"/>
              </w:rPr>
            </w:pPr>
            <w:r>
              <w:rPr>
                <w:rFonts w:ascii="Times New Roman" w:cs="Times New Roman" w:eastAsia="Times New Roman" w:hAnsi="Times New Roman"/>
                <w:sz w:val="22"/>
                <w:szCs w:val="22"/>
                <w:b w:val="1"/>
                <w:bCs w:val="1"/>
                <w:color w:val="auto"/>
                <w:w w:val="94"/>
              </w:rPr>
              <w:t>Share</w:t>
            </w:r>
          </w:p>
        </w:tc>
        <w:tc>
          <w:tcPr>
            <w:tcW w:w="2200" w:type="dxa"/>
            <w:vAlign w:val="bottom"/>
            <w:gridSpan w:val="2"/>
          </w:tcPr>
          <w:p>
            <w:pPr>
              <w:jc w:val="center"/>
              <w:ind w:right="440"/>
              <w:spacing w:after="0" w:line="247" w:lineRule="exact"/>
              <w:rPr>
                <w:sz w:val="20"/>
                <w:szCs w:val="20"/>
                <w:color w:val="auto"/>
              </w:rPr>
            </w:pPr>
            <w:r>
              <w:rPr>
                <w:rFonts w:ascii="Times New Roman" w:cs="Times New Roman" w:eastAsia="Times New Roman" w:hAnsi="Times New Roman"/>
                <w:sz w:val="22"/>
                <w:szCs w:val="22"/>
                <w:b w:val="1"/>
                <w:bCs w:val="1"/>
                <w:color w:val="auto"/>
                <w:w w:val="97"/>
              </w:rPr>
              <w:t>or Programs</w:t>
            </w:r>
          </w:p>
        </w:tc>
        <w:tc>
          <w:tcPr>
            <w:tcW w:w="1900" w:type="dxa"/>
            <w:vAlign w:val="bottom"/>
            <w:gridSpan w:val="3"/>
          </w:tcPr>
          <w:p>
            <w:pPr>
              <w:jc w:val="center"/>
              <w:ind w:right="100"/>
              <w:spacing w:after="0" w:line="247" w:lineRule="exact"/>
              <w:rPr>
                <w:sz w:val="20"/>
                <w:szCs w:val="20"/>
                <w:color w:val="auto"/>
              </w:rPr>
            </w:pPr>
            <w:r>
              <w:rPr>
                <w:rFonts w:ascii="Times New Roman" w:cs="Times New Roman" w:eastAsia="Times New Roman" w:hAnsi="Times New Roman"/>
                <w:sz w:val="22"/>
                <w:szCs w:val="22"/>
                <w:b w:val="1"/>
                <w:bCs w:val="1"/>
                <w:color w:val="auto"/>
                <w:w w:val="98"/>
              </w:rPr>
              <w:t>or Programs (1)</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E5FFFF"/>
            </w:tcBorders>
          </w:tcPr>
          <w:p>
            <w:pPr>
              <w:spacing w:after="0" w:line="20" w:lineRule="exact"/>
              <w:rPr>
                <w:sz w:val="1"/>
                <w:szCs w:val="1"/>
                <w:color w:val="auto"/>
              </w:rPr>
            </w:pPr>
          </w:p>
        </w:tc>
        <w:tc>
          <w:tcPr>
            <w:tcW w:w="2460" w:type="dxa"/>
            <w:vAlign w:val="bottom"/>
            <w:tcBorders>
              <w:bottom w:val="single" w:sz="8" w:color="E5FFFF"/>
            </w:tcBorders>
          </w:tcPr>
          <w:p>
            <w:pPr>
              <w:spacing w:after="0" w:line="20" w:lineRule="exact"/>
              <w:rPr>
                <w:sz w:val="1"/>
                <w:szCs w:val="1"/>
                <w:color w:val="auto"/>
              </w:rPr>
            </w:pPr>
          </w:p>
        </w:tc>
        <w:tc>
          <w:tcPr>
            <w:tcW w:w="1320" w:type="dxa"/>
            <w:vAlign w:val="bottom"/>
            <w:tcBorders>
              <w:bottom w:val="single" w:sz="8" w:color="E5FF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E5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E5FF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E5FF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8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gridSpan w:val="2"/>
            <w:shd w:val="clear" w:color="auto" w:fill="E5FFFF"/>
          </w:tcPr>
          <w:p>
            <w:pPr>
              <w:spacing w:after="0" w:line="224" w:lineRule="exact"/>
              <w:rPr>
                <w:sz w:val="20"/>
                <w:szCs w:val="20"/>
                <w:color w:val="auto"/>
              </w:rPr>
            </w:pPr>
            <w:r>
              <w:rPr>
                <w:rFonts w:ascii="Times New Roman" w:cs="Times New Roman" w:eastAsia="Times New Roman" w:hAnsi="Times New Roman"/>
                <w:sz w:val="22"/>
                <w:szCs w:val="22"/>
                <w:color w:val="auto"/>
              </w:rPr>
              <w:t>February 1-28, 2025</w:t>
            </w:r>
          </w:p>
        </w:tc>
        <w:tc>
          <w:tcPr>
            <w:tcW w:w="1320" w:type="dxa"/>
            <w:vAlign w:val="bottom"/>
            <w:shd w:val="clear" w:color="auto" w:fill="E5FFFF"/>
          </w:tcPr>
          <w:p>
            <w:pPr>
              <w:spacing w:after="0"/>
              <w:rPr>
                <w:sz w:val="19"/>
                <w:szCs w:val="19"/>
                <w:color w:val="auto"/>
              </w:rPr>
            </w:pPr>
          </w:p>
        </w:tc>
        <w:tc>
          <w:tcPr>
            <w:tcW w:w="980" w:type="dxa"/>
            <w:vAlign w:val="bottom"/>
            <w:shd w:val="clear" w:color="auto" w:fill="E5FFFF"/>
          </w:tcPr>
          <w:p>
            <w:pPr>
              <w:jc w:val="right"/>
              <w:spacing w:after="0" w:line="224" w:lineRule="exact"/>
              <w:rPr>
                <w:sz w:val="20"/>
                <w:szCs w:val="20"/>
                <w:color w:val="auto"/>
              </w:rPr>
            </w:pPr>
            <w:r>
              <w:rPr>
                <w:rFonts w:ascii="Times New Roman" w:cs="Times New Roman" w:eastAsia="Times New Roman" w:hAnsi="Times New Roman"/>
                <w:sz w:val="22"/>
                <w:szCs w:val="22"/>
                <w:color w:val="auto"/>
              </w:rPr>
              <w:t>281,709</w:t>
            </w:r>
          </w:p>
        </w:tc>
        <w:tc>
          <w:tcPr>
            <w:tcW w:w="440" w:type="dxa"/>
            <w:vAlign w:val="bottom"/>
            <w:shd w:val="clear" w:color="auto" w:fill="E5FFFF"/>
          </w:tcPr>
          <w:p>
            <w:pPr>
              <w:spacing w:after="0"/>
              <w:rPr>
                <w:sz w:val="19"/>
                <w:szCs w:val="19"/>
                <w:color w:val="auto"/>
              </w:rPr>
            </w:pPr>
          </w:p>
        </w:tc>
        <w:tc>
          <w:tcPr>
            <w:tcW w:w="140" w:type="dxa"/>
            <w:vAlign w:val="bottom"/>
            <w:shd w:val="clear" w:color="auto" w:fill="E5FFFF"/>
          </w:tcPr>
          <w:p>
            <w:pPr>
              <w:jc w:val="right"/>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shd w:val="clear" w:color="auto" w:fill="E5FFFF"/>
          </w:tcPr>
          <w:p>
            <w:pPr>
              <w:jc w:val="right"/>
              <w:spacing w:after="0" w:line="224" w:lineRule="exact"/>
              <w:rPr>
                <w:sz w:val="20"/>
                <w:szCs w:val="20"/>
                <w:color w:val="auto"/>
              </w:rPr>
            </w:pPr>
            <w:r>
              <w:rPr>
                <w:rFonts w:ascii="Times New Roman" w:cs="Times New Roman" w:eastAsia="Times New Roman" w:hAnsi="Times New Roman"/>
                <w:sz w:val="22"/>
                <w:szCs w:val="22"/>
                <w:color w:val="auto"/>
              </w:rPr>
              <w:t>42.56</w:t>
            </w:r>
          </w:p>
        </w:tc>
        <w:tc>
          <w:tcPr>
            <w:tcW w:w="440" w:type="dxa"/>
            <w:vAlign w:val="bottom"/>
            <w:shd w:val="clear" w:color="auto" w:fill="E5FFFF"/>
          </w:tcPr>
          <w:p>
            <w:pPr>
              <w:spacing w:after="0"/>
              <w:rPr>
                <w:sz w:val="19"/>
                <w:szCs w:val="19"/>
                <w:color w:val="auto"/>
              </w:rPr>
            </w:pPr>
          </w:p>
        </w:tc>
        <w:tc>
          <w:tcPr>
            <w:tcW w:w="1780" w:type="dxa"/>
            <w:vAlign w:val="bottom"/>
            <w:shd w:val="clear" w:color="auto" w:fill="E5FFFF"/>
          </w:tcPr>
          <w:p>
            <w:pPr>
              <w:jc w:val="right"/>
              <w:spacing w:after="0" w:line="224" w:lineRule="exact"/>
              <w:rPr>
                <w:sz w:val="20"/>
                <w:szCs w:val="20"/>
                <w:color w:val="auto"/>
              </w:rPr>
            </w:pPr>
            <w:r>
              <w:rPr>
                <w:rFonts w:ascii="Times New Roman" w:cs="Times New Roman" w:eastAsia="Times New Roman" w:hAnsi="Times New Roman"/>
                <w:sz w:val="22"/>
                <w:szCs w:val="22"/>
                <w:color w:val="auto"/>
              </w:rPr>
              <w:t>281,709</w:t>
            </w:r>
          </w:p>
        </w:tc>
        <w:tc>
          <w:tcPr>
            <w:tcW w:w="420" w:type="dxa"/>
            <w:vAlign w:val="bottom"/>
            <w:shd w:val="clear" w:color="auto" w:fill="E5FFFF"/>
          </w:tcPr>
          <w:p>
            <w:pPr>
              <w:spacing w:after="0"/>
              <w:rPr>
                <w:sz w:val="19"/>
                <w:szCs w:val="19"/>
                <w:color w:val="auto"/>
              </w:rPr>
            </w:pPr>
          </w:p>
        </w:tc>
        <w:tc>
          <w:tcPr>
            <w:tcW w:w="1800" w:type="dxa"/>
            <w:vAlign w:val="bottom"/>
            <w:shd w:val="clear" w:color="auto" w:fill="E5FFFF"/>
          </w:tcPr>
          <w:p>
            <w:pPr>
              <w:jc w:val="right"/>
              <w:spacing w:after="0" w:line="224" w:lineRule="exact"/>
              <w:rPr>
                <w:sz w:val="20"/>
                <w:szCs w:val="20"/>
                <w:color w:val="auto"/>
              </w:rPr>
            </w:pPr>
            <w:r>
              <w:rPr>
                <w:rFonts w:ascii="Times New Roman" w:cs="Times New Roman" w:eastAsia="Times New Roman" w:hAnsi="Times New Roman"/>
                <w:sz w:val="22"/>
                <w:szCs w:val="22"/>
                <w:color w:val="auto"/>
              </w:rPr>
              <w:t>222,510</w:t>
            </w: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March 1-31, 2025</w:t>
            </w:r>
          </w:p>
        </w:tc>
        <w:tc>
          <w:tcPr>
            <w:tcW w:w="2740" w:type="dxa"/>
            <w:vAlign w:val="bottom"/>
            <w:gridSpan w:val="3"/>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41,307</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38.61</w:t>
            </w:r>
          </w:p>
        </w:tc>
        <w:tc>
          <w:tcPr>
            <w:tcW w:w="22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41,307</w:t>
            </w:r>
          </w:p>
        </w:tc>
        <w:tc>
          <w:tcPr>
            <w:tcW w:w="18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1,681,203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22"/>
                <w:szCs w:val="22"/>
                <w:color w:val="auto"/>
              </w:rPr>
              <w:t>April 1-30, 2025</w:t>
            </w:r>
          </w:p>
        </w:tc>
        <w:tc>
          <w:tcPr>
            <w:tcW w:w="1320" w:type="dxa"/>
            <w:vAlign w:val="bottom"/>
            <w:shd w:val="clear" w:color="auto" w:fill="E5FFFF"/>
          </w:tcPr>
          <w:p>
            <w:pPr>
              <w:spacing w:after="0"/>
              <w:rPr>
                <w:sz w:val="22"/>
                <w:szCs w:val="22"/>
                <w:color w:val="auto"/>
              </w:rPr>
            </w:pPr>
          </w:p>
        </w:tc>
        <w:tc>
          <w:tcPr>
            <w:tcW w:w="142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499,240</w:t>
            </w:r>
          </w:p>
        </w:tc>
        <w:tc>
          <w:tcPr>
            <w:tcW w:w="14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38.34</w:t>
            </w:r>
          </w:p>
        </w:tc>
        <w:tc>
          <w:tcPr>
            <w:tcW w:w="22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499,240</w:t>
            </w:r>
          </w:p>
        </w:tc>
        <w:tc>
          <w:tcPr>
            <w:tcW w:w="1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1,181,963</w:t>
            </w:r>
          </w:p>
        </w:tc>
        <w:tc>
          <w:tcPr>
            <w:tcW w:w="8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w:t>
            </w:r>
          </w:p>
        </w:tc>
        <w:tc>
          <w:tcPr>
            <w:tcW w:w="132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822,256</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39.80</w:t>
            </w:r>
          </w:p>
        </w:tc>
        <w:tc>
          <w:tcPr>
            <w:tcW w:w="22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822,256</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1,181,963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80" w:hanging="328"/>
        <w:spacing w:after="0" w:line="238"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January 31, 2025, 504,219 shares remained under a prior authorization by the Board of Directors on August 31, 2021. On March 25, 2025, the Board of Directors authorized the repurchase from time to time of up to an additional 1,500,000 shares through open market transactions, privately negotiated transactions, or transactions by other means in accordance with applicable securities laws. At April 30, 2025, a total of 1,181,963 shares remained available to purchase under this authorization.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420" w:hanging="440"/>
        <w:spacing w:after="0"/>
        <w:tabs>
          <w:tab w:leader="none" w:pos="1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420" w:hanging="440"/>
        <w:spacing w:after="0"/>
        <w:tabs>
          <w:tab w:leader="none" w:pos="1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420" w:hanging="440"/>
        <w:spacing w:after="0" w:line="239" w:lineRule="auto"/>
        <w:tabs>
          <w:tab w:leader="none" w:pos="14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April 30, 2025, formatted in iXBRL: (i) Consolidated Balance Sheets, (ii) Consolidated Statements of Operations, (iii) Consolidated Statements of Equity, (iv) Consolidated Statements of Cash Flows and (v) Notes to Consolidated Financial Statements.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1100" w:type="dxa"/>
            <w:vAlign w:val="bottom"/>
            <w:gridSpan w:val="3"/>
          </w:tcPr>
          <w:p>
            <w:pPr>
              <w:spacing w:after="0"/>
              <w:rPr>
                <w:sz w:val="22"/>
                <w:szCs w:val="22"/>
                <w:color w:val="auto"/>
              </w:rPr>
            </w:pPr>
          </w:p>
        </w:tc>
        <w:tc>
          <w:tcPr>
            <w:tcW w:w="2180" w:type="dxa"/>
            <w:vAlign w:val="bottom"/>
          </w:tcPr>
          <w:p>
            <w:pPr>
              <w:spacing w:after="0"/>
              <w:rPr>
                <w:sz w:val="22"/>
                <w:szCs w:val="2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4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2700" w:type="dxa"/>
            <w:vAlign w:val="bottom"/>
            <w:gridSpan w:val="6"/>
          </w:tcPr>
          <w:p>
            <w:pPr>
              <w:jc w:val="center"/>
              <w:ind w:right="420"/>
              <w:spacing w:after="0"/>
              <w:rPr>
                <w:sz w:val="20"/>
                <w:szCs w:val="20"/>
                <w:color w:val="auto"/>
              </w:rPr>
            </w:pPr>
            <w:r>
              <w:rPr>
                <w:rFonts w:ascii="Times New Roman" w:cs="Times New Roman" w:eastAsia="Times New Roman" w:hAnsi="Times New Roman"/>
                <w:sz w:val="22"/>
                <w:szCs w:val="22"/>
                <w:color w:val="auto"/>
                <w:w w:val="98"/>
              </w:rPr>
              <w:t>/s/ Zafar A. Rizvi</w:t>
            </w:r>
          </w:p>
        </w:tc>
        <w:tc>
          <w:tcPr>
            <w:tcW w:w="46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6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rPr>
              <w:t>(Chief Executive Officer)</w:t>
            </w:r>
          </w:p>
        </w:tc>
        <w:tc>
          <w:tcPr>
            <w:tcW w:w="316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June 4, 2025</w:t>
            </w:r>
          </w:p>
        </w:tc>
      </w:tr>
      <w:tr>
        <w:trPr>
          <w:trHeight w:val="433"/>
        </w:trPr>
        <w:tc>
          <w:tcPr>
            <w:tcW w:w="720" w:type="dxa"/>
            <w:vAlign w:val="bottom"/>
          </w:tcPr>
          <w:p>
            <w:pPr>
              <w:spacing w:after="0"/>
              <w:rPr>
                <w:sz w:val="24"/>
                <w:szCs w:val="24"/>
                <w:color w:val="auto"/>
              </w:rPr>
            </w:pPr>
          </w:p>
        </w:tc>
        <w:tc>
          <w:tcPr>
            <w:tcW w:w="2700" w:type="dxa"/>
            <w:vAlign w:val="bottom"/>
            <w:gridSpan w:val="6"/>
          </w:tcPr>
          <w:p>
            <w:pPr>
              <w:jc w:val="center"/>
              <w:ind w:right="42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6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72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7"/>
              </w:rPr>
              <w:t>(Douglas L. Bruggeman)</w:t>
            </w:r>
          </w:p>
        </w:tc>
        <w:tc>
          <w:tcPr>
            <w:tcW w:w="420" w:type="dxa"/>
            <w:vAlign w:val="bottom"/>
          </w:tcPr>
          <w:p>
            <w:pPr>
              <w:spacing w:after="0"/>
              <w:rPr>
                <w:sz w:val="23"/>
                <w:szCs w:val="23"/>
                <w:color w:val="auto"/>
              </w:rPr>
            </w:pPr>
          </w:p>
        </w:tc>
        <w:tc>
          <w:tcPr>
            <w:tcW w:w="466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rPr>
              <w:t>(Chief Financial Officer)</w:t>
            </w:r>
          </w:p>
        </w:tc>
        <w:tc>
          <w:tcPr>
            <w:tcW w:w="316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June 4, 2025</w:t>
            </w:r>
          </w:p>
        </w:tc>
      </w:tr>
      <w:tr>
        <w:trPr>
          <w:trHeight w:val="43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39</w:t>
            </w: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7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1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6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3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Zafar A. Rizvi, certify that:</w:t>
      </w:r>
    </w:p>
    <w:p>
      <w:pPr>
        <w:spacing w:after="0" w:line="229" w:lineRule="exact"/>
        <w:rPr>
          <w:sz w:val="20"/>
          <w:szCs w:val="20"/>
          <w:color w:val="auto"/>
        </w:rPr>
      </w:pPr>
    </w:p>
    <w:p>
      <w:pPr>
        <w:ind w:left="1020" w:hanging="364"/>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REX American Resources Corporation;</w:t>
      </w:r>
    </w:p>
    <w:p>
      <w:pPr>
        <w:spacing w:after="0" w:line="229" w:lineRule="exact"/>
        <w:rPr>
          <w:rFonts w:ascii="Times New Roman" w:cs="Times New Roman" w:eastAsia="Times New Roman" w:hAnsi="Times New Roman"/>
          <w:sz w:val="20"/>
          <w:szCs w:val="20"/>
          <w:color w:val="auto"/>
        </w:rPr>
      </w:pPr>
    </w:p>
    <w:p>
      <w:pPr>
        <w:ind w:right="60" w:firstLine="656"/>
        <w:spacing w:after="0" w:line="254" w:lineRule="auto"/>
        <w:tabs>
          <w:tab w:leader="none" w:pos="101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340" w:firstLine="656"/>
        <w:spacing w:after="0" w:line="254" w:lineRule="auto"/>
        <w:tabs>
          <w:tab w:leader="none" w:pos="101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ind w:right="40" w:firstLine="656"/>
        <w:spacing w:after="0" w:line="264" w:lineRule="auto"/>
        <w:tabs>
          <w:tab w:leader="none" w:pos="101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660" w:right="160" w:firstLine="320"/>
        <w:spacing w:after="0" w:line="254" w:lineRule="auto"/>
        <w:tabs>
          <w:tab w:leader="none" w:pos="1361"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660" w:right="40" w:firstLine="320"/>
        <w:spacing w:after="0" w:line="254" w:lineRule="auto"/>
        <w:tabs>
          <w:tab w:leader="none" w:pos="13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660" w:right="40" w:firstLine="320"/>
        <w:spacing w:after="0" w:line="254" w:lineRule="auto"/>
        <w:tabs>
          <w:tab w:leader="none" w:pos="1361"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660" w:firstLine="320"/>
        <w:spacing w:after="0" w:line="254" w:lineRule="auto"/>
        <w:tabs>
          <w:tab w:leader="none" w:pos="13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jc w:val="both"/>
        <w:ind w:left="-656" w:right="540" w:firstLine="656"/>
        <w:spacing w:after="0" w:line="254" w:lineRule="auto"/>
        <w:tabs>
          <w:tab w:leader="none" w:pos="36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4" w:firstLine="320"/>
        <w:spacing w:after="0" w:line="254" w:lineRule="auto"/>
        <w:tabs>
          <w:tab w:leader="none" w:pos="70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4" w:right="660" w:firstLine="320"/>
        <w:spacing w:after="0" w:line="269" w:lineRule="auto"/>
        <w:tabs>
          <w:tab w:leader="none" w:pos="68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Date: June 4, 2025</w:t>
      </w:r>
    </w:p>
    <w:p>
      <w:pPr>
        <w:spacing w:after="0" w:line="22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/s/ Zafar A. Rizvi</w:t>
      </w:r>
    </w:p>
    <w:p>
      <w:pPr>
        <w:spacing w:after="0" w:line="2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Zafar A. Rizvi</w:t>
      </w:r>
    </w:p>
    <w:p>
      <w:pPr>
        <w:ind w:left="4964"/>
        <w:spacing w:after="0"/>
        <w:rPr>
          <w:sz w:val="20"/>
          <w:szCs w:val="20"/>
          <w:color w:val="auto"/>
        </w:rPr>
      </w:pPr>
      <w:r>
        <w:rPr>
          <w:rFonts w:ascii="Times New Roman" w:cs="Times New Roman" w:eastAsia="Times New Roman" w:hAnsi="Times New Roman"/>
          <w:sz w:val="20"/>
          <w:szCs w:val="20"/>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222885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035" w:right="399" w:bottom="1440" w:gutter="0" w:footer="0" w:header="0"/>
        </w:sectPr>
      </w:pPr>
    </w:p>
    <w:bookmarkStart w:id="42" w:name="page43"/>
    <w:bookmarkEnd w:id="42"/>
    <w:p>
      <w:pPr>
        <w:ind w:left="32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Douglas L. Bruggeman, certify that:</w:t>
      </w:r>
    </w:p>
    <w:p>
      <w:pPr>
        <w:spacing w:after="0" w:line="229" w:lineRule="exact"/>
        <w:rPr>
          <w:sz w:val="20"/>
          <w:szCs w:val="20"/>
          <w:color w:val="auto"/>
        </w:rPr>
      </w:pPr>
    </w:p>
    <w:p>
      <w:pPr>
        <w:ind w:left="940" w:hanging="284"/>
        <w:spacing w:after="0"/>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REX American Resources Corporation;</w:t>
      </w:r>
    </w:p>
    <w:p>
      <w:pPr>
        <w:spacing w:after="0" w:line="229" w:lineRule="exact"/>
        <w:rPr>
          <w:rFonts w:ascii="Times New Roman" w:cs="Times New Roman" w:eastAsia="Times New Roman" w:hAnsi="Times New Roman"/>
          <w:sz w:val="20"/>
          <w:szCs w:val="20"/>
          <w:color w:val="auto"/>
        </w:rPr>
      </w:pPr>
    </w:p>
    <w:p>
      <w:pPr>
        <w:ind w:right="60" w:firstLine="656"/>
        <w:spacing w:after="0" w:line="254" w:lineRule="auto"/>
        <w:tabs>
          <w:tab w:leader="none" w:pos="101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340" w:firstLine="656"/>
        <w:spacing w:after="0" w:line="254" w:lineRule="auto"/>
        <w:tabs>
          <w:tab w:leader="none" w:pos="101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ind w:right="40" w:firstLine="656"/>
        <w:spacing w:after="0" w:line="264" w:lineRule="auto"/>
        <w:tabs>
          <w:tab w:leader="none" w:pos="101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ind w:left="660" w:right="160" w:firstLine="320"/>
        <w:spacing w:after="0" w:line="254" w:lineRule="auto"/>
        <w:tabs>
          <w:tab w:leader="none" w:pos="125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660" w:firstLine="320"/>
        <w:spacing w:after="0" w:line="254" w:lineRule="auto"/>
        <w:tabs>
          <w:tab w:leader="none" w:pos="126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660" w:right="100" w:firstLine="320"/>
        <w:spacing w:after="0" w:line="254" w:lineRule="auto"/>
        <w:tabs>
          <w:tab w:leader="none" w:pos="125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660" w:firstLine="320"/>
        <w:spacing w:after="0" w:line="254" w:lineRule="auto"/>
        <w:tabs>
          <w:tab w:leader="none" w:pos="126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 w:name="page44"/>
    <w:bookmarkEnd w:id="43"/>
    <w:p>
      <w:pPr>
        <w:jc w:val="both"/>
        <w:ind w:left="-656" w:right="540" w:firstLine="656"/>
        <w:spacing w:after="0" w:line="254" w:lineRule="auto"/>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921"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4" w:right="400" w:firstLine="644"/>
        <w:spacing w:after="0" w:line="269" w:lineRule="auto"/>
        <w:tabs>
          <w:tab w:leader="none" w:pos="93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Date: June 4, 2025</w:t>
      </w:r>
    </w:p>
    <w:p>
      <w:pPr>
        <w:spacing w:after="0" w:line="22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/s/ Douglas L. Bruggeman</w:t>
      </w:r>
    </w:p>
    <w:p>
      <w:pPr>
        <w:spacing w:after="0" w:line="2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Douglas L. Bruggeman</w:t>
      </w:r>
    </w:p>
    <w:p>
      <w:pPr>
        <w:ind w:left="4964"/>
        <w:spacing w:after="0"/>
        <w:rPr>
          <w:sz w:val="20"/>
          <w:szCs w:val="20"/>
          <w:color w:val="auto"/>
        </w:rPr>
      </w:pPr>
      <w:r>
        <w:rPr>
          <w:rFonts w:ascii="Times New Roman" w:cs="Times New Roman" w:eastAsia="Times New Roman" w:hAnsi="Times New Roman"/>
          <w:sz w:val="20"/>
          <w:szCs w:val="20"/>
          <w:i w:val="1"/>
          <w:iCs w:val="1"/>
          <w:color w:val="auto"/>
        </w:rPr>
        <w:t>Vice President, Finance, Treasurer and</w:t>
      </w:r>
    </w:p>
    <w:p>
      <w:pPr>
        <w:ind w:left="4964"/>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222885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805" w:right="3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REX American Resources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BY SECTION 906 OF THE SARBANES-OXLEY</w:t>
      </w:r>
    </w:p>
    <w:p>
      <w:pPr>
        <w:jc w:val="center"/>
        <w:spacing w:after="0"/>
        <w:rPr>
          <w:sz w:val="20"/>
          <w:szCs w:val="20"/>
          <w:color w:val="auto"/>
        </w:rPr>
      </w:pPr>
      <w:r>
        <w:rPr>
          <w:rFonts w:ascii="Times New Roman" w:cs="Times New Roman" w:eastAsia="Times New Roman" w:hAnsi="Times New Roman"/>
          <w:sz w:val="20"/>
          <w:szCs w:val="20"/>
          <w:b w:val="1"/>
          <w:bCs w:val="1"/>
          <w:color w:val="auto"/>
        </w:rPr>
        <w:t>ACT OF 2002</w:t>
      </w:r>
    </w:p>
    <w:p>
      <w:pPr>
        <w:spacing w:after="0" w:line="207"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0"/>
          <w:szCs w:val="20"/>
          <w:color w:val="auto"/>
        </w:rPr>
        <w:t>The undersigned officers of REX American Resources Corporation (the “Company”) hereby certify, to their knowledge, that the Company’s Quarterly Report on Form 10-Q for the period ended April 30, 2025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93"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Zafar A. Rizvi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Zafar A. Rizvi</w:t>
      </w:r>
    </w:p>
    <w:p>
      <w:pPr>
        <w:spacing w:after="0"/>
        <w:rPr>
          <w:sz w:val="20"/>
          <w:szCs w:val="20"/>
          <w:color w:val="auto"/>
        </w:rPr>
      </w:pPr>
      <w:r>
        <w:rPr>
          <w:rFonts w:ascii="Times New Roman" w:cs="Times New Roman" w:eastAsia="Times New Roman" w:hAnsi="Times New Roman"/>
          <w:sz w:val="20"/>
          <w:szCs w:val="20"/>
          <w:i w:val="1"/>
          <w:iCs w:val="1"/>
          <w:color w:val="auto"/>
        </w:rPr>
        <w:t>Chief Executive Officer and President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Douglas L. Bruggeman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Douglas L. Bruggeman</w:t>
      </w:r>
    </w:p>
    <w:p>
      <w:pPr>
        <w:spacing w:after="0"/>
        <w:rPr>
          <w:sz w:val="20"/>
          <w:szCs w:val="20"/>
          <w:color w:val="auto"/>
        </w:rPr>
      </w:pPr>
      <w:r>
        <w:rPr>
          <w:rFonts w:ascii="Times New Roman" w:cs="Times New Roman" w:eastAsia="Times New Roman" w:hAnsi="Times New Roman"/>
          <w:sz w:val="20"/>
          <w:szCs w:val="20"/>
          <w:i w:val="1"/>
          <w:iCs w:val="1"/>
          <w:color w:val="auto"/>
        </w:rPr>
        <w:t>Vice President, Finance, Treasurer and</w:t>
      </w:r>
    </w:p>
    <w:p>
      <w:pPr>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2025-06-04T11:17:29Z</dcterms:created>
  <dcterms:modified xsi:type="dcterms:W3CDTF">2025-06-04T11:17:29Z</dcterms:modified>
</cp:coreProperties>
</file>