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MacMillan 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7720 PARAGON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DAYTON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45459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REX AMERICAN RESOURCES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REX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2,096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2,327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8, 2025, the common shares of REX American Resources Corporation split 2 for 1, resulting in the reporting person's acquisition of 7,222 additional shares of common stock on September 15, 2025.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with the first third vesting immediately and the remaining two years on the first two anniversaries of the grant.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vesting in one-third increments on each of the first three anniversaries of the grant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Edward M. Kress, Attorney in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1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Ann MacMillan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78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9741" TargetMode="External"/><Relationship Id="rId14" Type="http://schemas.openxmlformats.org/officeDocument/2006/relationships/hyperlink" Target="http://www.sec.gov/cgi-bin/browse-edgar?action=getcompany&amp;CIK=00007441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2026-06-17T09:57:10Z</dcterms:created>
  <dcterms:modified xsi:type="dcterms:W3CDTF">2026-06-17T09:57:10Z</dcterms:modified>
</cp:coreProperties>
</file>