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66040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40" w:right="1840" w:hanging="432"/>
        <w:spacing w:after="0" w:line="261"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40" w:right="1820" w:hanging="432"/>
        <w:spacing w:after="0" w:line="490"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77470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66040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p>
      <w:pPr>
        <w:spacing w:after="0" w:line="207"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3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324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32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32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680" w:space="720"/>
            <w:col w:w="5020"/>
          </w:cols>
          <w:pgMar w:left="240" w:top="499" w:right="239" w:bottom="1440" w:gutter="0" w:footer="0" w:header="0"/>
          <w:type w:val="continuous"/>
        </w:sectPr>
      </w:pPr>
    </w:p>
    <w:p>
      <w:pPr>
        <w:spacing w:after="0" w:line="30" w:lineRule="exact"/>
        <w:rPr>
          <w:sz w:val="24"/>
          <w:szCs w:val="24"/>
          <w:color w:val="auto"/>
        </w:rPr>
      </w:pPr>
    </w:p>
    <w:p>
      <w:pPr>
        <w:jc w:val="center"/>
        <w:ind w:left="302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30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14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31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720" w:space="720"/>
            <w:col w:w="3980"/>
          </w:cols>
          <w:pgMar w:left="240" w:top="49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420"/>
          </w:cols>
          <w:pgMar w:left="240" w:top="499" w:right="2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9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9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360"/>
        <w:spacing w:after="0"/>
        <w:tabs>
          <w:tab w:leader="none" w:pos="398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900"/>
        <w:spacing w:after="0"/>
        <w:tabs>
          <w:tab w:leader="none" w:pos="468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232410</wp:posOffset>
            </wp:positionH>
            <wp:positionV relativeFrom="paragraph">
              <wp:posOffset>66040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280" w:space="360"/>
            <w:col w:w="7780"/>
          </w:cols>
          <w:pgMar w:left="240" w:top="499" w:right="239" w:bottom="1440" w:gutter="0" w:footer="0" w:header="0"/>
          <w:type w:val="continuous"/>
        </w:sectPr>
      </w:pPr>
    </w:p>
    <w:p>
      <w:pPr>
        <w:spacing w:after="0" w:line="11" w:lineRule="exact"/>
        <w:rPr>
          <w:sz w:val="24"/>
          <w:szCs w:val="24"/>
          <w:color w:val="auto"/>
        </w:rPr>
      </w:pPr>
    </w:p>
    <w:p>
      <w:pPr>
        <w:jc w:val="both"/>
        <w:spacing w:after="0" w:line="27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54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16"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499" w:right="23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480" w:space="720"/>
            <w:col w:w="3220"/>
          </w:cols>
          <w:pgMar w:left="240" w:top="499" w:right="239" w:bottom="1440" w:gutter="0" w:footer="0" w:header="0"/>
          <w:type w:val="continuous"/>
        </w:sectPr>
      </w:pPr>
    </w:p>
    <w:p>
      <w:pPr>
        <w:spacing w:after="0" w:line="3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December 4, 2019 the registrant had 6,293,322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20" w:type="dxa"/>
            <w:vAlign w:val="bottom"/>
            <w:gridSpan w:val="14"/>
          </w:tcPr>
          <w:p>
            <w:pPr>
              <w:jc w:val="center"/>
              <w:ind w:right="560"/>
              <w:spacing w:after="0"/>
              <w:rPr>
                <w:sz w:val="20"/>
                <w:szCs w:val="20"/>
                <w:color w:val="auto"/>
              </w:rPr>
            </w:pPr>
            <w:r>
              <w:rPr>
                <w:rFonts w:ascii="Arial" w:cs="Arial" w:eastAsia="Arial" w:hAnsi="Arial"/>
                <w:sz w:val="22"/>
                <w:szCs w:val="22"/>
                <w:color w:val="auto"/>
                <w:w w:val="94"/>
              </w:rPr>
              <w:t>REX AMERICAN RESOURCES CORPORATION AND SUBSIDIARIES</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40" w:type="dxa"/>
            <w:vAlign w:val="bottom"/>
            <w:gridSpan w:val="4"/>
          </w:tcPr>
          <w:p>
            <w:pPr>
              <w:jc w:val="center"/>
              <w:ind w:right="3940"/>
              <w:spacing w:after="0"/>
              <w:rPr>
                <w:sz w:val="20"/>
                <w:szCs w:val="20"/>
                <w:color w:val="auto"/>
              </w:rPr>
            </w:pPr>
            <w:r>
              <w:rPr>
                <w:rFonts w:ascii="Arial" w:cs="Arial" w:eastAsia="Arial" w:hAnsi="Arial"/>
                <w:sz w:val="22"/>
                <w:szCs w:val="22"/>
                <w:color w:val="auto"/>
                <w:w w:val="98"/>
              </w:rPr>
              <w:t>INDEX</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436"/>
        </w:trPr>
        <w:tc>
          <w:tcPr>
            <w:tcW w:w="900" w:type="dxa"/>
            <w:vAlign w:val="bottom"/>
            <w:gridSpan w:val="5"/>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PART I.</w:t>
              </w:r>
            </w:hyperlink>
          </w:p>
        </w:tc>
        <w:tc>
          <w:tcPr>
            <w:tcW w:w="9100" w:type="dxa"/>
            <w:vAlign w:val="bottom"/>
            <w:gridSpan w:val="16"/>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00" w:type="dxa"/>
            <w:vAlign w:val="bottom"/>
            <w:tcBorders>
              <w:top w:val="single" w:sz="8" w:color="0000EE"/>
            </w:tcBorders>
            <w:gridSpan w:val="2"/>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Item 1.</w:t>
              </w:r>
            </w:hyperlink>
          </w:p>
        </w:tc>
        <w:tc>
          <w:tcPr>
            <w:tcW w:w="20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w:t>
              </w:r>
            </w:hyperlink>
          </w:p>
        </w:tc>
        <w:tc>
          <w:tcPr>
            <w:tcW w:w="6400" w:type="dxa"/>
            <w:vAlign w:val="bottom"/>
            <w:gridSpan w:val="9"/>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Consolidated Condensed Balance Sheets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Borders>
              <w:bottom w:val="single" w:sz="8" w:color="0000EE"/>
            </w:tcBorders>
            <w:gridSpan w:val="11"/>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Consolidated Condensed Statements of Operations</w:t>
              </w:r>
            </w:hyperlink>
          </w:p>
        </w:tc>
        <w:tc>
          <w:tcPr>
            <w:tcW w:w="4700" w:type="dxa"/>
            <w:vAlign w:val="bottom"/>
            <w:gridSpan w:val="5"/>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00" w:type="dxa"/>
            <w:vAlign w:val="bottom"/>
            <w:gridSpan w:val="16"/>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Consolidated Condensed Statements of Equity</w:t>
              </w:r>
            </w:hyperlink>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60" w:type="dxa"/>
            <w:vAlign w:val="bottom"/>
            <w:tcBorders>
              <w:bottom w:val="single" w:sz="8" w:color="0000EE"/>
            </w:tcBorders>
            <w:gridSpan w:val="12"/>
          </w:tcPr>
          <w:p>
            <w:pPr>
              <w:spacing w:after="0" w:line="223" w:lineRule="exact"/>
              <w:rPr>
                <w:rFonts w:ascii="Arial" w:cs="Arial" w:eastAsia="Arial" w:hAnsi="Arial"/>
                <w:sz w:val="22"/>
                <w:szCs w:val="22"/>
                <w:color w:val="0000EE"/>
                <w:w w:val="87"/>
              </w:rPr>
            </w:pPr>
            <w:hyperlink w:anchor="page7">
              <w:r>
                <w:rPr>
                  <w:rFonts w:ascii="Arial" w:cs="Arial" w:eastAsia="Arial" w:hAnsi="Arial"/>
                  <w:sz w:val="22"/>
                  <w:szCs w:val="22"/>
                  <w:color w:val="0000EE"/>
                  <w:w w:val="87"/>
                </w:rPr>
                <w:t>Consolidated Condensed Statements of Cash Flows</w:t>
              </w:r>
            </w:hyperlink>
          </w:p>
        </w:tc>
        <w:tc>
          <w:tcPr>
            <w:tcW w:w="4640" w:type="dxa"/>
            <w:vAlign w:val="bottom"/>
            <w:gridSpan w:val="4"/>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8">
              <w:r>
                <w:rPr>
                  <w:rFonts w:ascii="Arial" w:cs="Arial" w:eastAsia="Arial" w:hAnsi="Arial"/>
                  <w:sz w:val="22"/>
                  <w:szCs w:val="22"/>
                  <w:color w:val="0000EE"/>
                  <w:w w:val="87"/>
                </w:rPr>
                <w:t>Notes to Consolidated Condensed Financial Statements</w:t>
              </w:r>
            </w:hyperlink>
          </w:p>
        </w:tc>
        <w:tc>
          <w:tcPr>
            <w:tcW w:w="4300" w:type="dxa"/>
            <w:vAlign w:val="bottom"/>
            <w:gridSpan w:val="3"/>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24">
              <w:r>
                <w:rPr>
                  <w:rFonts w:ascii="Arial" w:cs="Arial" w:eastAsia="Arial" w:hAnsi="Arial"/>
                  <w:sz w:val="22"/>
                  <w:szCs w:val="22"/>
                  <w:color w:val="0000EE"/>
                </w:rPr>
                <w:t>Item 2.</w:t>
              </w:r>
            </w:hyperlink>
          </w:p>
        </w:tc>
        <w:tc>
          <w:tcPr>
            <w:tcW w:w="9100" w:type="dxa"/>
            <w:vAlign w:val="bottom"/>
            <w:gridSpan w:val="16"/>
          </w:tcPr>
          <w:p>
            <w:pPr>
              <w:spacing w:after="0"/>
              <w:rPr>
                <w:rFonts w:ascii="Arial" w:cs="Arial" w:eastAsia="Arial" w:hAnsi="Arial"/>
                <w:sz w:val="22"/>
                <w:szCs w:val="22"/>
                <w:color w:val="0000EE"/>
              </w:rPr>
            </w:pPr>
            <w:hyperlink w:anchor="page24">
              <w:r>
                <w:rPr>
                  <w:rFonts w:ascii="Arial" w:cs="Arial" w:eastAsia="Arial" w:hAnsi="Arial"/>
                  <w:sz w:val="22"/>
                  <w:szCs w:val="22"/>
                  <w:color w:val="0000EE"/>
                </w:rPr>
                <w:t>Management’s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54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Item 3.</w:t>
              </w:r>
            </w:hyperlink>
          </w:p>
        </w:tc>
        <w:tc>
          <w:tcPr>
            <w:tcW w:w="9100" w:type="dxa"/>
            <w:vAlign w:val="bottom"/>
            <w:gridSpan w:val="16"/>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3880" w:type="dxa"/>
            <w:vAlign w:val="bottom"/>
            <w:tcBorders>
              <w:left w:val="single" w:sz="8" w:color="0000EE"/>
            </w:tcBorders>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Item 4.</w:t>
              </w:r>
            </w:hyperlink>
          </w:p>
        </w:tc>
        <w:tc>
          <w:tcPr>
            <w:tcW w:w="9100" w:type="dxa"/>
            <w:vAlign w:val="bottom"/>
            <w:gridSpan w:val="16"/>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rFonts w:ascii="Arial" w:cs="Arial" w:eastAsia="Arial" w:hAnsi="Arial"/>
                <w:sz w:val="22"/>
                <w:szCs w:val="22"/>
                <w:color w:val="0000EE"/>
                <w:w w:val="93"/>
              </w:rPr>
            </w:pPr>
            <w:hyperlink w:anchor="page39">
              <w:r>
                <w:rPr>
                  <w:rFonts w:ascii="Arial" w:cs="Arial" w:eastAsia="Arial" w:hAnsi="Arial"/>
                  <w:sz w:val="22"/>
                  <w:szCs w:val="22"/>
                  <w:color w:val="0000EE"/>
                  <w:w w:val="93"/>
                </w:rPr>
                <w:t>PART II.</w:t>
              </w:r>
            </w:hyperlink>
          </w:p>
        </w:tc>
        <w:tc>
          <w:tcPr>
            <w:tcW w:w="10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OTHER INFORMATION</w:t>
              </w:r>
            </w:hyperlink>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0" w:type="dxa"/>
            <w:vAlign w:val="bottom"/>
            <w:tcBorders>
              <w:top w:val="single" w:sz="8" w:color="0000EE"/>
            </w:tcBorders>
            <w:gridSpan w:val="4"/>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Item 1.</w:t>
              </w:r>
            </w:hyperlink>
          </w:p>
        </w:tc>
        <w:tc>
          <w:tcPr>
            <w:tcW w:w="10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Legal Proceedings</w:t>
              </w:r>
            </w:hyperlink>
          </w:p>
        </w:tc>
        <w:tc>
          <w:tcPr>
            <w:tcW w:w="6840" w:type="dxa"/>
            <w:vAlign w:val="bottom"/>
            <w:gridSpan w:val="10"/>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w w:val="92"/>
              </w:rPr>
            </w:pPr>
            <w:hyperlink w:anchor="page39">
              <w:r>
                <w:rPr>
                  <w:rFonts w:ascii="Arial" w:cs="Arial" w:eastAsia="Arial" w:hAnsi="Arial"/>
                  <w:sz w:val="22"/>
                  <w:szCs w:val="22"/>
                  <w:color w:val="0000EE"/>
                  <w:w w:val="92"/>
                </w:rPr>
                <w:t>Item 1A.</w:t>
              </w:r>
            </w:hyperlink>
          </w:p>
        </w:tc>
        <w:tc>
          <w:tcPr>
            <w:tcW w:w="120" w:type="dxa"/>
            <w:vAlign w:val="bottom"/>
            <w:gridSpan w:val="2"/>
          </w:tcPr>
          <w:p>
            <w:pPr>
              <w:spacing w:after="0"/>
              <w:rPr>
                <w:sz w:val="24"/>
                <w:szCs w:val="24"/>
                <w:color w:val="auto"/>
              </w:rPr>
            </w:pPr>
          </w:p>
        </w:tc>
        <w:tc>
          <w:tcPr>
            <w:tcW w:w="9100" w:type="dxa"/>
            <w:vAlign w:val="bottom"/>
            <w:gridSpan w:val="1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Risk Factors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Item 2.</w:t>
              </w:r>
            </w:hyperlink>
          </w:p>
        </w:tc>
        <w:tc>
          <w:tcPr>
            <w:tcW w:w="120" w:type="dxa"/>
            <w:vAlign w:val="bottom"/>
            <w:gridSpan w:val="2"/>
          </w:tcPr>
          <w:p>
            <w:pPr>
              <w:spacing w:after="0"/>
              <w:rPr>
                <w:sz w:val="24"/>
                <w:szCs w:val="24"/>
                <w:color w:val="auto"/>
              </w:rPr>
            </w:pPr>
          </w:p>
        </w:tc>
        <w:tc>
          <w:tcPr>
            <w:tcW w:w="9100" w:type="dxa"/>
            <w:vAlign w:val="bottom"/>
            <w:gridSpan w:val="1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Unregistered Sales of Equity Securities and Use of Proceeds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Item 3.</w:t>
              </w:r>
            </w:hyperlink>
          </w:p>
        </w:tc>
        <w:tc>
          <w:tcPr>
            <w:tcW w:w="9100" w:type="dxa"/>
            <w:vAlign w:val="bottom"/>
            <w:gridSpan w:val="1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Defaults upon Senior Securities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Item 4.</w:t>
              </w:r>
            </w:hyperlink>
          </w:p>
        </w:tc>
        <w:tc>
          <w:tcPr>
            <w:tcW w:w="9100" w:type="dxa"/>
            <w:vAlign w:val="bottom"/>
            <w:gridSpan w:val="1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Mine Safety Disclosures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Item 5.</w:t>
              </w:r>
            </w:hyperlink>
          </w:p>
        </w:tc>
        <w:tc>
          <w:tcPr>
            <w:tcW w:w="9100" w:type="dxa"/>
            <w:vAlign w:val="bottom"/>
            <w:gridSpan w:val="16"/>
          </w:tcPr>
          <w:p>
            <w:pPr>
              <w:spacing w:after="0"/>
              <w:rPr>
                <w:rFonts w:ascii="Arial" w:cs="Arial" w:eastAsia="Arial" w:hAnsi="Arial"/>
                <w:sz w:val="22"/>
                <w:szCs w:val="22"/>
                <w:color w:val="0000EE"/>
              </w:rPr>
            </w:pPr>
            <w:hyperlink w:anchor="page39">
              <w:r>
                <w:rPr>
                  <w:rFonts w:ascii="Arial" w:cs="Arial" w:eastAsia="Arial" w:hAnsi="Arial"/>
                  <w:sz w:val="22"/>
                  <w:szCs w:val="22"/>
                  <w:color w:val="0000EE"/>
                </w:rPr>
                <w:t>Other Information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52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gridSpan w:val="5"/>
          </w:tcPr>
          <w:p>
            <w:pPr>
              <w:spacing w:after="0"/>
              <w:rPr>
                <w:rFonts w:ascii="Arial" w:cs="Arial" w:eastAsia="Arial" w:hAnsi="Arial"/>
                <w:sz w:val="22"/>
                <w:szCs w:val="22"/>
                <w:color w:val="0000EE"/>
              </w:rPr>
            </w:pPr>
            <w:hyperlink w:anchor="page40">
              <w:r>
                <w:rPr>
                  <w:rFonts w:ascii="Arial" w:cs="Arial" w:eastAsia="Arial" w:hAnsi="Arial"/>
                  <w:sz w:val="22"/>
                  <w:szCs w:val="22"/>
                  <w:color w:val="0000EE"/>
                </w:rPr>
                <w:t>Item 6.</w:t>
              </w:r>
            </w:hyperlink>
          </w:p>
        </w:tc>
        <w:tc>
          <w:tcPr>
            <w:tcW w:w="9100" w:type="dxa"/>
            <w:vAlign w:val="bottom"/>
            <w:gridSpan w:val="16"/>
          </w:tcPr>
          <w:p>
            <w:pPr>
              <w:spacing w:after="0"/>
              <w:rPr>
                <w:rFonts w:ascii="Arial" w:cs="Arial" w:eastAsia="Arial" w:hAnsi="Arial"/>
                <w:sz w:val="22"/>
                <w:szCs w:val="22"/>
                <w:color w:val="0000EE"/>
              </w:rPr>
            </w:pPr>
            <w:hyperlink w:anchor="page40">
              <w:r>
                <w:rPr>
                  <w:rFonts w:ascii="Arial" w:cs="Arial" w:eastAsia="Arial" w:hAnsi="Arial"/>
                  <w:sz w:val="22"/>
                  <w:szCs w:val="22"/>
                  <w:color w:val="0000EE"/>
                </w:rPr>
                <w:t>Exhibits</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463"/>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3572"/>
              <w:spacing w:after="0"/>
              <w:rPr>
                <w:sz w:val="20"/>
                <w:szCs w:val="20"/>
                <w:color w:val="auto"/>
              </w:rPr>
            </w:pPr>
            <w:r>
              <w:rPr>
                <w:rFonts w:ascii="Arial" w:cs="Arial" w:eastAsia="Arial" w:hAnsi="Arial"/>
                <w:sz w:val="22"/>
                <w:szCs w:val="22"/>
                <w:color w:val="auto"/>
                <w:w w:val="81"/>
              </w:rPr>
              <w:t>2</w:t>
            </w:r>
          </w:p>
        </w:tc>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2"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80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0" w:type="dxa"/>
            <w:vAlign w:val="bottom"/>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2"/>
              </w:rPr>
              <w:t>October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E5FFFF"/>
            </w:tcBorders>
          </w:tcPr>
          <w:p>
            <w:pPr>
              <w:spacing w:after="0"/>
              <w:rPr>
                <w:sz w:val="20"/>
                <w:szCs w:val="20"/>
                <w:color w:val="auto"/>
              </w:rPr>
            </w:pPr>
          </w:p>
        </w:tc>
        <w:tc>
          <w:tcPr>
            <w:tcW w:w="56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196,339</w:t>
            </w:r>
          </w:p>
        </w:tc>
        <w:tc>
          <w:tcPr>
            <w:tcW w:w="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188,531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523</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16,391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31,038</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18,477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7,222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9,017</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9,284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167,754</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182,521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17,603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16,263</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6,176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31,422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493,572</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471,393</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13,122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5,080</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6,231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current liabilities</w:t>
            </w:r>
          </w:p>
        </w:tc>
        <w:tc>
          <w:tcPr>
            <w:tcW w:w="5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24,433</w:t>
            </w: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17,009</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Long-term liabilities: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3,963</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11,937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4,310</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4,928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56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20,210</w:t>
            </w:r>
          </w:p>
        </w:tc>
        <w:tc>
          <w:tcPr>
            <w:tcW w:w="4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9,113</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REX shareholders’ equity: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54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540"/>
              <w:spacing w:after="0"/>
              <w:rPr>
                <w:sz w:val="20"/>
                <w:szCs w:val="20"/>
                <w:color w:val="auto"/>
              </w:rPr>
            </w:pPr>
            <w:r>
              <w:rPr>
                <w:rFonts w:ascii="Arial" w:cs="Arial" w:eastAsia="Arial" w:hAnsi="Arial"/>
                <w:sz w:val="18"/>
                <w:szCs w:val="18"/>
                <w:color w:val="auto"/>
              </w:rPr>
              <w:t>Paid-in capital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148,756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148,273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E5FFFF"/>
          </w:tcPr>
          <w:p>
            <w:pPr>
              <w:ind w:left="540"/>
              <w:spacing w:after="0"/>
              <w:rPr>
                <w:sz w:val="20"/>
                <w:szCs w:val="20"/>
                <w:color w:val="auto"/>
              </w:rPr>
            </w:pPr>
            <w:r>
              <w:rPr>
                <w:rFonts w:ascii="Arial" w:cs="Arial" w:eastAsia="Arial" w:hAnsi="Arial"/>
                <w:sz w:val="18"/>
                <w:szCs w:val="18"/>
                <w:color w:val="auto"/>
              </w:rPr>
              <w:t>Retained earnings</w:t>
            </w: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582,583</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579,558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540"/>
              <w:spacing w:after="0"/>
              <w:rPr>
                <w:sz w:val="20"/>
                <w:szCs w:val="20"/>
                <w:color w:val="auto"/>
              </w:rPr>
            </w:pPr>
            <w:r>
              <w:rPr>
                <w:rFonts w:ascii="Arial" w:cs="Arial" w:eastAsia="Arial" w:hAnsi="Arial"/>
                <w:sz w:val="18"/>
                <w:szCs w:val="18"/>
                <w:color w:val="auto"/>
              </w:rPr>
              <w:t>Treasury stock</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(335,073)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(335,193)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E5FFFF"/>
            </w:tcBorders>
            <w:shd w:val="clear" w:color="auto" w:fill="E5FFFF"/>
          </w:tcPr>
          <w:p>
            <w:pPr>
              <w:ind w:left="720"/>
              <w:spacing w:after="0"/>
              <w:rPr>
                <w:sz w:val="20"/>
                <w:szCs w:val="20"/>
                <w:color w:val="auto"/>
              </w:rPr>
            </w:pPr>
            <w:r>
              <w:rPr>
                <w:rFonts w:ascii="Arial" w:cs="Arial" w:eastAsia="Arial" w:hAnsi="Arial"/>
                <w:sz w:val="18"/>
                <w:szCs w:val="18"/>
                <w:color w:val="auto"/>
              </w:rPr>
              <w:t>Total REX shareholders’ equity</w:t>
            </w:r>
          </w:p>
        </w:tc>
        <w:tc>
          <w:tcPr>
            <w:tcW w:w="5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396,565</w:t>
            </w: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392,937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52,364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5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448,929</w:t>
            </w: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445,271</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493,572</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 w:name="page4"/>
    <w:bookmarkEnd w:id="3"/>
    <w:p>
      <w:pPr>
        <w:ind w:right="568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3"/>
              </w:rPr>
              <w:t>Three Months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Ended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0"/>
              </w:rPr>
              <w:t>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October 31,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86,671</w:t>
            </w:r>
          </w:p>
        </w:tc>
        <w:tc>
          <w:tcPr>
            <w:tcW w:w="46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w w:val="89"/>
              </w:rPr>
              <w:t>123,750</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w w:val="98"/>
              </w:rPr>
              <w:t>297,114</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w w:val="98"/>
              </w:rPr>
              <w:t>373,327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88,429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116,003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291,222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Gross (loss) profit</w:t>
            </w:r>
          </w:p>
        </w:tc>
        <w:tc>
          <w:tcPr>
            <w:tcW w:w="24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7,747</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5,892</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27,997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(13,629)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5FFFF"/>
          </w:tcPr>
          <w:p>
            <w:pPr>
              <w:spacing w:after="0"/>
              <w:rPr>
                <w:sz w:val="20"/>
                <w:szCs w:val="20"/>
                <w:color w:val="auto"/>
              </w:rPr>
            </w:pPr>
            <w:r>
              <w:rPr>
                <w:rFonts w:ascii="Arial" w:cs="Arial" w:eastAsia="Arial" w:hAnsi="Arial"/>
                <w:sz w:val="18"/>
                <w:szCs w:val="18"/>
                <w:color w:val="auto"/>
              </w:rPr>
              <w:t>Equity in (loss) income of unconsolidated affiliates</w:t>
            </w: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(4,904)</w:t>
            </w:r>
          </w:p>
        </w:tc>
        <w:tc>
          <w:tcPr>
            <w:tcW w:w="22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3,755</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(4,006)</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16,263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10,014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9,401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13,769</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5,395</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34,611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(loss) income attributable to REX common shareholders</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11,875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3,025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30,588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6,319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6,388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5FFFF"/>
          </w:tcPr>
          <w:p>
            <w:pPr>
              <w:spacing w:after="0"/>
              <w:rPr>
                <w:sz w:val="20"/>
                <w:szCs w:val="20"/>
                <w:color w:val="auto"/>
              </w:rPr>
            </w:pPr>
            <w:r>
              <w:rPr>
                <w:rFonts w:ascii="Arial" w:cs="Arial" w:eastAsia="Arial" w:hAnsi="Arial"/>
                <w:sz w:val="18"/>
                <w:szCs w:val="18"/>
                <w:color w:val="auto"/>
                <w:w w:val="93"/>
              </w:rPr>
              <w:t>Basic and diluted net (loss)income per share attributable to REX common shareholders</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1.86</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October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4"/>
              </w:rPr>
              <w:t>REX Shareholders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Common Shares</w:t>
            </w:r>
          </w:p>
        </w:tc>
        <w:tc>
          <w:tcPr>
            <w:tcW w:w="200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23"/>
                <w:szCs w:val="2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Issued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8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0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July 31, 2019</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23,561</w:t>
            </w:r>
          </w:p>
        </w:tc>
        <w:tc>
          <w:tcPr>
            <w:tcW w:w="11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 (335,080)</w:t>
            </w: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148,724</w:t>
            </w:r>
          </w:p>
        </w:tc>
        <w:tc>
          <w:tcPr>
            <w:tcW w:w="140" w:type="dxa"/>
            <w:vAlign w:val="bottom"/>
            <w:shd w:val="clear" w:color="auto" w:fill="E5FFFF"/>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584,635</w:t>
            </w:r>
          </w:p>
        </w:tc>
        <w:tc>
          <w:tcPr>
            <w:tcW w:w="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51,912</w:t>
            </w:r>
          </w:p>
        </w:tc>
        <w:tc>
          <w:tcPr>
            <w:tcW w:w="26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450,490</w:t>
            </w: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Net (loss) income</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(2,052)</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379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32</w:t>
            </w:r>
          </w:p>
        </w:tc>
        <w:tc>
          <w:tcPr>
            <w:tcW w:w="320" w:type="dxa"/>
            <w:vAlign w:val="bottom"/>
            <w:shd w:val="clear" w:color="auto" w:fill="E5FFFF"/>
          </w:tcPr>
          <w:p>
            <w:pPr>
              <w:spacing w:after="0"/>
              <w:rPr>
                <w:sz w:val="14"/>
                <w:szCs w:val="14"/>
                <w:color w:val="auto"/>
              </w:rPr>
            </w:pPr>
          </w:p>
        </w:tc>
        <w:tc>
          <w:tcPr>
            <w:tcW w:w="14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400" w:type="dxa"/>
            <w:vAlign w:val="bottom"/>
            <w:gridSpan w:val="2"/>
          </w:tcPr>
          <w:p>
            <w:pPr>
              <w:spacing w:after="0"/>
              <w:rPr>
                <w:sz w:val="20"/>
                <w:szCs w:val="20"/>
                <w:color w:val="auto"/>
              </w:rPr>
            </w:pPr>
            <w:r>
              <w:rPr>
                <w:rFonts w:ascii="Arial" w:cs="Arial" w:eastAsia="Arial" w:hAnsi="Arial"/>
                <w:sz w:val="14"/>
                <w:szCs w:val="14"/>
                <w:color w:val="auto"/>
              </w:rPr>
              <w:t>Balance at October 31, 2019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299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23,561</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 (335,073)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148,756</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582,583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52,364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448,929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2019</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23,580</w:t>
            </w:r>
          </w:p>
        </w:tc>
        <w:tc>
          <w:tcPr>
            <w:tcW w:w="11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 (335,193)</w:t>
            </w: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148,273</w:t>
            </w:r>
          </w:p>
        </w:tc>
        <w:tc>
          <w:tcPr>
            <w:tcW w:w="140" w:type="dxa"/>
            <w:vAlign w:val="bottom"/>
            <w:shd w:val="clear" w:color="auto" w:fill="E5FFFF"/>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579,558</w:t>
            </w:r>
          </w:p>
        </w:tc>
        <w:tc>
          <w:tcPr>
            <w:tcW w:w="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52,334</w:t>
            </w:r>
          </w:p>
        </w:tc>
        <w:tc>
          <w:tcPr>
            <w:tcW w:w="26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445,271</w:t>
            </w: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3,025</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2,370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(2,598)</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120</w:t>
            </w:r>
          </w:p>
        </w:tc>
        <w:tc>
          <w:tcPr>
            <w:tcW w:w="32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483</w:t>
            </w:r>
          </w:p>
        </w:tc>
        <w:tc>
          <w:tcPr>
            <w:tcW w:w="320" w:type="dxa"/>
            <w:vAlign w:val="bottom"/>
            <w:shd w:val="clear" w:color="auto" w:fill="E5FFFF"/>
          </w:tcPr>
          <w:p>
            <w:pPr>
              <w:spacing w:after="0"/>
              <w:rPr>
                <w:sz w:val="14"/>
                <w:szCs w:val="14"/>
                <w:color w:val="auto"/>
              </w:rPr>
            </w:pPr>
          </w:p>
        </w:tc>
        <w:tc>
          <w:tcPr>
            <w:tcW w:w="14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400" w:type="dxa"/>
            <w:vAlign w:val="bottom"/>
            <w:gridSpan w:val="2"/>
          </w:tcPr>
          <w:p>
            <w:pPr>
              <w:spacing w:after="0"/>
              <w:rPr>
                <w:sz w:val="20"/>
                <w:szCs w:val="20"/>
                <w:color w:val="auto"/>
              </w:rPr>
            </w:pPr>
            <w:r>
              <w:rPr>
                <w:rFonts w:ascii="Arial" w:cs="Arial" w:eastAsia="Arial" w:hAnsi="Arial"/>
                <w:sz w:val="14"/>
                <w:szCs w:val="14"/>
                <w:color w:val="auto"/>
              </w:rPr>
              <w:t>Balance at October 31, 2019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299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23,561</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 (335,073)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148,756</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582,583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52,364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448,929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Continued on the following page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4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October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gridSpan w:val="2"/>
          </w:tcPr>
          <w:p>
            <w:pPr>
              <w:spacing w:after="0"/>
              <w:rPr>
                <w:sz w:val="20"/>
                <w:szCs w:val="20"/>
                <w:color w:val="auto"/>
              </w:rPr>
            </w:pPr>
            <w:r>
              <w:rPr>
                <w:rFonts w:ascii="Arial" w:cs="Arial" w:eastAsia="Arial" w:hAnsi="Arial"/>
                <w:sz w:val="14"/>
                <w:szCs w:val="14"/>
                <w:color w:val="auto"/>
              </w:rPr>
              <w:t>Continued from the previous page</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4"/>
              </w:rPr>
              <w:t>REX Shareholders</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Common Shares</w:t>
            </w:r>
          </w:p>
        </w:tc>
        <w:tc>
          <w:tcPr>
            <w:tcW w:w="200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23"/>
                <w:szCs w:val="2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Issued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8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0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July 31, 2018</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23,502</w:t>
            </w:r>
          </w:p>
        </w:tc>
        <w:tc>
          <w:tcPr>
            <w:tcW w:w="11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 (329,999)</w:t>
            </w: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148,212</w:t>
            </w:r>
          </w:p>
        </w:tc>
        <w:tc>
          <w:tcPr>
            <w:tcW w:w="140" w:type="dxa"/>
            <w:vAlign w:val="bottom"/>
            <w:shd w:val="clear" w:color="auto" w:fill="E5FFFF"/>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566,626</w:t>
            </w:r>
          </w:p>
        </w:tc>
        <w:tc>
          <w:tcPr>
            <w:tcW w:w="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51,110</w:t>
            </w:r>
          </w:p>
        </w:tc>
        <w:tc>
          <w:tcPr>
            <w:tcW w:w="10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436,248</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11,875</w:t>
            </w:r>
          </w:p>
        </w:tc>
        <w:tc>
          <w:tcPr>
            <w:tcW w:w="1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1,894</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11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(1,771)</w:t>
            </w: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(1,771)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Noncontrolling interests distribution and other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1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186</w:t>
            </w: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186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3400" w:type="dxa"/>
            <w:vAlign w:val="bottom"/>
            <w:gridSpan w:val="2"/>
          </w:tcPr>
          <w:p>
            <w:pPr>
              <w:spacing w:after="0"/>
              <w:rPr>
                <w:sz w:val="20"/>
                <w:szCs w:val="20"/>
                <w:color w:val="auto"/>
              </w:rPr>
            </w:pPr>
            <w:r>
              <w:rPr>
                <w:rFonts w:ascii="Arial" w:cs="Arial" w:eastAsia="Arial" w:hAnsi="Arial"/>
                <w:sz w:val="14"/>
                <w:szCs w:val="14"/>
                <w:color w:val="auto"/>
              </w:rPr>
              <w:t>Issuance of equity awards and stock based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October 31, 2018</w:t>
            </w:r>
          </w:p>
        </w:tc>
        <w:tc>
          <w:tcPr>
            <w:tcW w:w="6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29,853</w:t>
            </w:r>
          </w:p>
        </w:tc>
        <w:tc>
          <w:tcPr>
            <w:tcW w:w="160" w:type="dxa"/>
            <w:vAlign w:val="bottom"/>
            <w:shd w:val="clear" w:color="auto" w:fill="E5FFFF"/>
          </w:tcPr>
          <w:p>
            <w:pPr>
              <w:spacing w:after="0"/>
              <w:rPr>
                <w:sz w:val="12"/>
                <w:szCs w:val="12"/>
                <w:color w:val="auto"/>
              </w:rPr>
            </w:pP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84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23,527</w:t>
            </w:r>
          </w:p>
        </w:tc>
        <w:tc>
          <w:tcPr>
            <w:tcW w:w="116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 (331,763)</w:t>
            </w: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148,242</w:t>
            </w:r>
          </w:p>
        </w:tc>
        <w:tc>
          <w:tcPr>
            <w:tcW w:w="140" w:type="dxa"/>
            <w:vAlign w:val="bottom"/>
            <w:shd w:val="clear" w:color="auto" w:fill="E5FFFF"/>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578,501</w:t>
            </w:r>
          </w:p>
        </w:tc>
        <w:tc>
          <w:tcPr>
            <w:tcW w:w="1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53,155</w:t>
            </w:r>
          </w:p>
        </w:tc>
        <w:tc>
          <w:tcPr>
            <w:tcW w:w="10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448,434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400" w:type="dxa"/>
            <w:vAlign w:val="bottom"/>
            <w:gridSpan w:val="2"/>
          </w:tcPr>
          <w:p>
            <w:pPr>
              <w:spacing w:after="0"/>
              <w:rPr>
                <w:sz w:val="20"/>
                <w:szCs w:val="20"/>
                <w:color w:val="auto"/>
              </w:rPr>
            </w:pPr>
            <w:r>
              <w:rPr>
                <w:rFonts w:ascii="Arial" w:cs="Arial" w:eastAsia="Arial" w:hAnsi="Arial"/>
                <w:sz w:val="14"/>
                <w:szCs w:val="14"/>
                <w:color w:val="auto"/>
              </w:rPr>
              <w:t>Balance at January 31, 2018</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299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23,287</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 (313,643)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146,923</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547,913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50,434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431,926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30,588</w:t>
            </w:r>
          </w:p>
        </w:tc>
        <w:tc>
          <w:tcPr>
            <w:tcW w:w="120" w:type="dxa"/>
            <w:vAlign w:val="bottom"/>
            <w:shd w:val="clear" w:color="auto" w:fill="E5FFFF"/>
          </w:tcPr>
          <w:p>
            <w:pPr>
              <w:spacing w:after="0"/>
              <w:rPr>
                <w:sz w:val="12"/>
                <w:szCs w:val="12"/>
                <w:color w:val="auto"/>
              </w:rPr>
            </w:pPr>
          </w:p>
        </w:tc>
        <w:tc>
          <w:tcPr>
            <w:tcW w:w="11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4,023</w:t>
            </w: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34,611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Treasury stock acquired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253</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(18,419)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12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(1,734)</w:t>
            </w: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(1,734)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40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6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299</w:t>
            </w:r>
          </w:p>
        </w:tc>
        <w:tc>
          <w:tcPr>
            <w:tcW w:w="320" w:type="dxa"/>
            <w:vAlign w:val="bottom"/>
            <w:shd w:val="clear" w:color="auto" w:fill="E5FFFF"/>
          </w:tcPr>
          <w:p>
            <w:pPr>
              <w:spacing w:after="0"/>
              <w:rPr>
                <w:sz w:val="14"/>
                <w:szCs w:val="14"/>
                <w:color w:val="auto"/>
              </w:rPr>
            </w:pPr>
          </w:p>
        </w:tc>
        <w:tc>
          <w:tcPr>
            <w:tcW w:w="80" w:type="dxa"/>
            <w:vAlign w:val="bottom"/>
            <w:tcBorders>
              <w:bottom w:val="single" w:sz="8" w:color="auto"/>
            </w:tcBorders>
            <w:shd w:val="clear" w:color="auto" w:fill="E5FFFF"/>
          </w:tcPr>
          <w:p>
            <w:pPr>
              <w:spacing w:after="0"/>
              <w:rPr>
                <w:sz w:val="14"/>
                <w:szCs w:val="14"/>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1,319</w:t>
            </w:r>
          </w:p>
        </w:tc>
        <w:tc>
          <w:tcPr>
            <w:tcW w:w="320" w:type="dxa"/>
            <w:vAlign w:val="bottom"/>
            <w:shd w:val="clear" w:color="auto" w:fill="E5FFFF"/>
          </w:tcPr>
          <w:p>
            <w:pPr>
              <w:spacing w:after="0"/>
              <w:rPr>
                <w:sz w:val="14"/>
                <w:szCs w:val="14"/>
                <w:color w:val="auto"/>
              </w:rPr>
            </w:pPr>
          </w:p>
        </w:tc>
        <w:tc>
          <w:tcPr>
            <w:tcW w:w="140" w:type="dxa"/>
            <w:vAlign w:val="bottom"/>
            <w:tcBorders>
              <w:bottom w:val="single" w:sz="8" w:color="auto"/>
            </w:tcBorders>
            <w:shd w:val="clear" w:color="auto" w:fill="E5FFFF"/>
          </w:tcPr>
          <w:p>
            <w:pPr>
              <w:spacing w:after="0"/>
              <w:rPr>
                <w:sz w:val="14"/>
                <w:szCs w:val="14"/>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120" w:type="dxa"/>
            <w:vAlign w:val="bottom"/>
            <w:tcBorders>
              <w:bottom w:val="single" w:sz="8" w:color="auto"/>
            </w:tcBorders>
            <w:shd w:val="clear" w:color="auto" w:fill="E5FFFF"/>
          </w:tcPr>
          <w:p>
            <w:pPr>
              <w:spacing w:after="0"/>
              <w:rPr>
                <w:sz w:val="14"/>
                <w:szCs w:val="14"/>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4"/>
                <w:szCs w:val="14"/>
                <w:color w:val="auto"/>
              </w:rPr>
            </w:pPr>
          </w:p>
        </w:tc>
        <w:tc>
          <w:tcPr>
            <w:tcW w:w="100" w:type="dxa"/>
            <w:vAlign w:val="bottom"/>
            <w:tcBorders>
              <w:bottom w:val="single" w:sz="8" w:color="auto"/>
            </w:tcBorders>
            <w:shd w:val="clear" w:color="auto" w:fill="E5FFFF"/>
          </w:tcPr>
          <w:p>
            <w:pPr>
              <w:spacing w:after="0"/>
              <w:rPr>
                <w:sz w:val="14"/>
                <w:szCs w:val="14"/>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400" w:type="dxa"/>
            <w:vAlign w:val="bottom"/>
            <w:gridSpan w:val="2"/>
          </w:tcPr>
          <w:p>
            <w:pPr>
              <w:spacing w:after="0"/>
              <w:rPr>
                <w:sz w:val="20"/>
                <w:szCs w:val="20"/>
                <w:color w:val="auto"/>
              </w:rPr>
            </w:pPr>
            <w:r>
              <w:rPr>
                <w:rFonts w:ascii="Arial" w:cs="Arial" w:eastAsia="Arial" w:hAnsi="Arial"/>
                <w:sz w:val="14"/>
                <w:szCs w:val="14"/>
                <w:color w:val="auto"/>
              </w:rPr>
              <w:t>Balance at October 31, 2018</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299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23,527</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 (331,763)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148,242</w:t>
            </w: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578,501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53,155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448,434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Consolidated Condensed Statements of Cash Flows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5FFFF"/>
            </w:tcBorders>
          </w:tcPr>
          <w:p>
            <w:pPr>
              <w:spacing w:after="0"/>
              <w:rPr>
                <w:sz w:val="20"/>
                <w:szCs w:val="20"/>
                <w:color w:val="auto"/>
              </w:rPr>
            </w:pPr>
          </w:p>
        </w:tc>
        <w:tc>
          <w:tcPr>
            <w:tcW w:w="126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E5FFFF"/>
            </w:tcBorders>
          </w:tcPr>
          <w:p>
            <w:pPr>
              <w:spacing w:after="0"/>
              <w:rPr>
                <w:sz w:val="20"/>
                <w:szCs w:val="20"/>
                <w:color w:val="auto"/>
              </w:rPr>
            </w:pPr>
          </w:p>
        </w:tc>
        <w:tc>
          <w:tcPr>
            <w:tcW w:w="3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5,395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17,682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Amortization of operating lease right-of-use assets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4,648</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Income from equity method investments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Dividends received from equity method investee</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1,003</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Interest income from investments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Deferred income tax</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(9,828)</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Stock based compensation expense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(5,013)</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(12,561)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Accounts payable, trade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5,618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(9,010)</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126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Purchase of short-term investments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w w:val="90"/>
              </w:rPr>
              <w:t>(125,989)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Sale of short-term investments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Loan receivable repayments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Treasury stock acquired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Payments to noncontrolling interests holders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(2,598)</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Capital contributions from minority investor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(2,340)</w:t>
            </w:r>
          </w:p>
        </w:tc>
        <w:tc>
          <w:tcPr>
            <w:tcW w:w="3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w w:val="95"/>
              </w:rPr>
              <w:t>188,812</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191,342</w:t>
            </w: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196,862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26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272</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shd w:val="clear" w:color="auto" w:fill="E5FFFF"/>
          </w:tcPr>
          <w:p>
            <w:pPr>
              <w:spacing w:after="0" w:line="20" w:lineRule="exact"/>
              <w:rPr>
                <w:sz w:val="1"/>
                <w:szCs w:val="1"/>
                <w:color w:val="auto"/>
              </w:rPr>
            </w:pPr>
          </w:p>
        </w:tc>
        <w:tc>
          <w:tcPr>
            <w:tcW w:w="126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32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1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w:t>
            </w:r>
          </w:p>
        </w:tc>
        <w:tc>
          <w:tcPr>
            <w:tcW w:w="3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Borders>
              <w:top w:val="single" w:sz="8" w:color="E5FFFF"/>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Non cash financing activities – Stock awards issued</w:t>
            </w:r>
          </w:p>
        </w:tc>
        <w:tc>
          <w:tcPr>
            <w:tcW w:w="126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487</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1,473</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Initial right-of-use assets and liabilities recorded upon adoption of ASC 842</w:t>
            </w:r>
          </w:p>
        </w:tc>
        <w:tc>
          <w:tcPr>
            <w:tcW w:w="1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20,918</w:t>
            </w:r>
          </w:p>
        </w:tc>
        <w:tc>
          <w:tcPr>
            <w:tcW w:w="3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Borders>
              <w:top w:val="single" w:sz="8" w:color="E5FFFF"/>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Right-of-use assets acquired and liabilities incurred upon lease execution</w:t>
            </w:r>
          </w:p>
        </w:tc>
        <w:tc>
          <w:tcPr>
            <w:tcW w:w="126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432</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w w:val="95"/>
              </w:rPr>
              <w:t>196,339</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cash, cash equivalents and restricted cash</w:t>
            </w:r>
          </w:p>
        </w:tc>
        <w:tc>
          <w:tcPr>
            <w:tcW w:w="126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5"/>
              </w:rPr>
              <w:t>196,862</w:t>
            </w:r>
          </w:p>
        </w:tc>
        <w:tc>
          <w:tcPr>
            <w:tcW w:w="340" w:type="dxa"/>
            <w:vAlign w:val="bottom"/>
            <w:tcBorders>
              <w:top w:val="single" w:sz="8" w:color="E5FFFF"/>
              <w:bottom w:val="single" w:sz="8" w:color="E5FFFF"/>
            </w:tcBorders>
            <w:shd w:val="clear" w:color="auto" w:fill="E5FFFF"/>
          </w:tcPr>
          <w:p>
            <w:pPr>
              <w:spacing w:after="0"/>
              <w:rPr>
                <w:sz w:val="18"/>
                <w:szCs w:val="18"/>
                <w:color w:val="auto"/>
              </w:rPr>
            </w:pP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178,663</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October 31,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2019 included in these financial statements has been derived from the audited consolidated financial statements included in the Company’s Annual Report on Form 10-K for the year ended January 31, 2019 (fiscal year 2018). It is suggested that these unaudited consolidated condensed financial statements be read in conjunction with the consolidated financial statements and the notes thereto included in the Company’s Annual Report on Form 10-K for the year ended January 31, 2019. The results of operations for the interim periods are not necessarily indicative of the results to be expected for the year.</w:t>
      </w:r>
    </w:p>
    <w:p>
      <w:pPr>
        <w:spacing w:after="0" w:line="183"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21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Nature of Operations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The interim consolidated condensed financial statements have been prepared in accordance with the accounting policies described in the notes to the consolidated financial statements included in the Company’s fiscal year 2018 Annual Report on Form 10-K and the adoption of new accounting standards described at the end of this footnote. While management believes that the procedures followed in the preparation of interim financial information are reasonable, the accuracy of some estimated amounts is dependent upon facts that will exist or calculations that will be accomplished at fiscal year-end. Examples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8" w:name="page9"/>
    <w:bookmarkEnd w:id="8"/>
    <w:p>
      <w:pPr>
        <w:jc w:val="both"/>
        <w:ind w:right="300"/>
        <w:spacing w:after="0" w:line="328" w:lineRule="auto"/>
        <w:rPr>
          <w:sz w:val="20"/>
          <w:szCs w:val="20"/>
          <w:color w:val="auto"/>
        </w:rPr>
      </w:pPr>
      <w:r>
        <w:rPr>
          <w:rFonts w:ascii="Arial" w:cs="Arial" w:eastAsia="Arial" w:hAnsi="Arial"/>
          <w:sz w:val="19"/>
          <w:szCs w:val="19"/>
          <w:color w:val="auto"/>
        </w:rPr>
        <w:t>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jc w:val="both"/>
        <w:ind w:right="80" w:firstLine="648"/>
        <w:spacing w:after="0" w:line="247" w:lineRule="auto"/>
        <w:rPr>
          <w:sz w:val="20"/>
          <w:szCs w:val="20"/>
          <w:color w:val="auto"/>
        </w:rPr>
      </w:pPr>
      <w:r>
        <w:rPr>
          <w:rFonts w:ascii="Arial" w:cs="Arial" w:eastAsia="Arial" w:hAnsi="Arial"/>
          <w:sz w:val="21"/>
          <w:szCs w:val="21"/>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62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management, certain compensations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The Company includes non-production related costs such as professional fees, selling charges and certain payroll in SG&amp;A expenses.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for under the “normal purchases and normal sales” scope exemption of Accounting Standards Codification (“ASC”) 815,</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expected to be used by the Company and sales of ethanol, distillers grains and non-food grade corn oil quantities expected to be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produced by the Company over a reasonable period of time in the normal course of business.</w:t>
      </w:r>
    </w:p>
    <w:p>
      <w:pPr>
        <w:spacing w:after="0" w:line="21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 w:name="page10"/>
    <w:bookmarkEnd w:id="9"/>
    <w:p>
      <w:pPr>
        <w:ind w:right="400"/>
        <w:spacing w:after="0"/>
        <w:rPr>
          <w:sz w:val="20"/>
          <w:szCs w:val="20"/>
          <w:color w:val="auto"/>
        </w:rPr>
      </w:pPr>
      <w:r>
        <w:rPr>
          <w:rFonts w:ascii="Arial" w:cs="Arial" w:eastAsia="Arial" w:hAnsi="Arial"/>
          <w:sz w:val="22"/>
          <w:szCs w:val="22"/>
          <w:color w:val="auto"/>
        </w:rPr>
        <w:t>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Historically, the Company recorded its interim tax provision or benefit for income taxes including the three and nine months ended October 31, 2018,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would not provide a reliable estimate for the three and nine months ended October 31,</w:t>
      </w:r>
    </w:p>
    <w:p>
      <w:pPr>
        <w:spacing w:after="0" w:line="4" w:lineRule="exact"/>
        <w:rPr>
          <w:sz w:val="20"/>
          <w:szCs w:val="20"/>
          <w:color w:val="auto"/>
        </w:rPr>
      </w:pPr>
    </w:p>
    <w:p>
      <w:pPr>
        <w:ind w:right="400"/>
        <w:spacing w:after="0" w:line="237" w:lineRule="auto"/>
        <w:rPr>
          <w:sz w:val="20"/>
          <w:szCs w:val="20"/>
          <w:color w:val="auto"/>
        </w:rPr>
      </w:pPr>
      <w:r>
        <w:rPr>
          <w:rFonts w:ascii="Arial" w:cs="Arial" w:eastAsia="Arial" w:hAnsi="Arial"/>
          <w:sz w:val="22"/>
          <w:szCs w:val="22"/>
          <w:color w:val="auto"/>
        </w:rPr>
        <w:t>2019. Thus, the Company used a discrete effective tax rate method to calculate the provision or benefit for income taxes for the three and nine months ended October 31, 2019.</w:t>
      </w:r>
    </w:p>
    <w:p>
      <w:pPr>
        <w:spacing w:after="0" w:line="212"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evidence, it is more likely than not that some or all of the deferred tax assets will not be realized. The Company paid no income taxes nor received refunds of income taxes during the nine months ended October 31, 2019. The Company paid income taxes of approximately $0.9 million during the nine months ended October 31, 2018. The Company received no refunds of income taxes during the nine months ended October 31, 2018.</w:t>
      </w:r>
    </w:p>
    <w:p>
      <w:pPr>
        <w:spacing w:after="0" w:line="205" w:lineRule="exact"/>
        <w:rPr>
          <w:sz w:val="20"/>
          <w:szCs w:val="20"/>
          <w:color w:val="auto"/>
        </w:rPr>
      </w:pPr>
    </w:p>
    <w:p>
      <w:pPr>
        <w:ind w:right="160" w:firstLine="648"/>
        <w:spacing w:after="0" w:line="247" w:lineRule="auto"/>
        <w:rPr>
          <w:sz w:val="20"/>
          <w:szCs w:val="20"/>
          <w:color w:val="auto"/>
        </w:rPr>
      </w:pPr>
      <w:r>
        <w:rPr>
          <w:rFonts w:ascii="Arial" w:cs="Arial" w:eastAsia="Arial" w:hAnsi="Arial"/>
          <w:sz w:val="21"/>
          <w:szCs w:val="21"/>
          <w:color w:val="auto"/>
        </w:rPr>
        <w:t>As of October 31, 2019 and January 31, 2019, total unrecognized tax benefits were approximately $8.6 million and approximately $8.8 million, respectively. Accrued penalties and interest were approximately $0.5 million and approximately $0.4 million at October 31, 2019 and January 31, 2019, respectively. If the Company were to prevail on all unrecognized tax benefits recorded, the provision for income taxes would be reduced by approximately $8.2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Inventories are carried at the lower of cost or market on a first-in, first-out basis. Inventory includes direct production costs and certain overhead costs such as depreciation, property taxes and utilities associated with producing ethanol and related by-products and refined coal. Inventory is permanently written down for instances when cost exceeds estimated net realizable value; such write-downs are based primarily upon commodity prices as the market value of inventory is often dependent upon changes in commodity prices. There was no significant permanent write-down of inventory at October 31, 2019 and January 31, 2019. Fluctuations in the write-down of inventory generally relate to the levels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 w:name="page11"/>
    <w:bookmarkEnd w:id="10"/>
    <w:p>
      <w:pPr>
        <w:ind w:right="620"/>
        <w:spacing w:after="0" w:line="251" w:lineRule="auto"/>
        <w:rPr>
          <w:sz w:val="20"/>
          <w:szCs w:val="20"/>
          <w:color w:val="auto"/>
        </w:rPr>
      </w:pPr>
      <w:r>
        <w:rPr>
          <w:rFonts w:ascii="Arial" w:cs="Arial" w:eastAsia="Arial" w:hAnsi="Arial"/>
          <w:sz w:val="22"/>
          <w:szCs w:val="22"/>
          <w:color w:val="auto"/>
        </w:rPr>
        <w:t>composition of such inventory at a given point in time. The components of inventory are as follows as of the dates presented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0" w:type="dxa"/>
            <w:vAlign w:val="bottom"/>
            <w:gridSpan w:val="3"/>
          </w:tcPr>
          <w:p>
            <w:pPr>
              <w:spacing w:after="0"/>
              <w:rPr>
                <w:sz w:val="20"/>
                <w:szCs w:val="20"/>
                <w:color w:val="auto"/>
              </w:rPr>
            </w:pPr>
            <w:r>
              <w:rPr>
                <w:rFonts w:ascii="Arial" w:cs="Arial" w:eastAsia="Arial" w:hAnsi="Arial"/>
                <w:sz w:val="22"/>
                <w:szCs w:val="22"/>
                <w:b w:val="1"/>
                <w:bCs w:val="1"/>
                <w:color w:val="auto"/>
              </w:rPr>
              <w:t>October 31,</w:t>
            </w:r>
          </w:p>
        </w:tc>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Arial" w:cs="Arial" w:eastAsia="Arial" w:hAnsi="Arial"/>
                <w:sz w:val="22"/>
                <w:szCs w:val="22"/>
                <w:b w:val="1"/>
                <w:bCs w:val="1"/>
                <w:color w:val="auto"/>
                <w:w w:val="92"/>
              </w:rPr>
              <w:t>January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other finished goods</w:t>
            </w:r>
          </w:p>
        </w:tc>
        <w:tc>
          <w:tcPr>
            <w:tcW w:w="1300" w:type="dxa"/>
            <w:vAlign w:val="bottom"/>
            <w:gridSpan w:val="2"/>
            <w:shd w:val="clear" w:color="auto" w:fill="E5FFFF"/>
          </w:tcPr>
          <w:p>
            <w:pPr>
              <w:ind w:left="1080"/>
              <w:spacing w:after="0" w:line="243" w:lineRule="exact"/>
              <w:rPr>
                <w:sz w:val="20"/>
                <w:szCs w:val="20"/>
                <w:color w:val="auto"/>
              </w:rPr>
            </w:pPr>
            <w:r>
              <w:rPr>
                <w:rFonts w:ascii="Arial" w:cs="Arial" w:eastAsia="Arial" w:hAnsi="Arial"/>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6,825</w:t>
            </w:r>
          </w:p>
        </w:tc>
        <w:tc>
          <w:tcPr>
            <w:tcW w:w="700" w:type="dxa"/>
            <w:vAlign w:val="bottom"/>
            <w:shd w:val="clear" w:color="auto" w:fill="E5FFFF"/>
          </w:tcPr>
          <w:p>
            <w:pPr>
              <w:spacing w:after="0"/>
              <w:rPr>
                <w:sz w:val="21"/>
                <w:szCs w:val="21"/>
                <w:color w:val="auto"/>
              </w:rPr>
            </w:pPr>
          </w:p>
        </w:tc>
        <w:tc>
          <w:tcPr>
            <w:tcW w:w="22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5,767</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3" w:lineRule="exact"/>
              <w:rPr>
                <w:sz w:val="20"/>
                <w:szCs w:val="20"/>
                <w:color w:val="auto"/>
              </w:rPr>
            </w:pPr>
            <w:r>
              <w:rPr>
                <w:rFonts w:ascii="Arial" w:cs="Arial" w:eastAsia="Arial" w:hAnsi="Arial"/>
                <w:sz w:val="22"/>
                <w:szCs w:val="22"/>
                <w:color w:val="auto"/>
              </w:rPr>
              <w:t>Work in process</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3,477</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3,094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Grain and other raw materials</w:t>
            </w:r>
          </w:p>
        </w:tc>
        <w:tc>
          <w:tcPr>
            <w:tcW w:w="10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20,736</w:t>
            </w:r>
          </w:p>
        </w:tc>
        <w:tc>
          <w:tcPr>
            <w:tcW w:w="7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9,616</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1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31,038</w:t>
            </w:r>
          </w:p>
        </w:tc>
        <w:tc>
          <w:tcPr>
            <w:tcW w:w="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18,477</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213" w:lineRule="exact"/>
        <w:rPr>
          <w:sz w:val="20"/>
          <w:szCs w:val="20"/>
          <w:color w:val="auto"/>
        </w:rPr>
      </w:pPr>
    </w:p>
    <w:p>
      <w:pPr>
        <w:ind w:right="160" w:firstLine="648"/>
        <w:spacing w:after="0" w:line="258"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There were no impairment charges in the first nine months of fiscal years 2019 or 2018.</w:t>
      </w:r>
    </w:p>
    <w:p>
      <w:pPr>
        <w:spacing w:after="0" w:line="194"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89"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1" w:name="page12"/>
    <w:bookmarkEnd w:id="11"/>
    <w:p>
      <w:pPr>
        <w:ind w:left="660"/>
        <w:spacing w:after="0"/>
        <w:rPr>
          <w:sz w:val="20"/>
          <w:szCs w:val="20"/>
          <w:color w:val="auto"/>
        </w:rPr>
      </w:pPr>
      <w:r>
        <w:rPr>
          <w:rFonts w:ascii="Arial" w:cs="Arial" w:eastAsia="Arial" w:hAnsi="Arial"/>
          <w:sz w:val="22"/>
          <w:szCs w:val="22"/>
          <w:color w:val="auto"/>
        </w:rPr>
        <w:t>Short-term investments are considered held to maturity, and, therefore are carried at amortized historical cost.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has no components of other comprehensive income, and therefore, comprehensive income equals net income.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ind w:right="160" w:firstLine="648"/>
        <w:spacing w:after="0" w:line="247" w:lineRule="auto"/>
        <w:rPr>
          <w:sz w:val="20"/>
          <w:szCs w:val="20"/>
          <w:color w:val="auto"/>
        </w:rPr>
      </w:pPr>
      <w:r>
        <w:rPr>
          <w:rFonts w:ascii="Arial" w:cs="Arial" w:eastAsia="Arial" w:hAnsi="Arial"/>
          <w:sz w:val="21"/>
          <w:szCs w:val="21"/>
          <w:color w:val="auto"/>
        </w:rPr>
        <w:t>Effective February 1, 2019, the Company adopted the amended guidance in Accounting Standards Codification “ASC” Topic 842 “</w:t>
      </w:r>
      <w:r>
        <w:rPr>
          <w:rFonts w:ascii="Arial" w:cs="Arial" w:eastAsia="Arial" w:hAnsi="Arial"/>
          <w:sz w:val="21"/>
          <w:szCs w:val="21"/>
          <w:i w:val="1"/>
          <w:iCs w:val="1"/>
          <w:color w:val="auto"/>
        </w:rPr>
        <w:t>Leases</w:t>
      </w:r>
      <w:r>
        <w:rPr>
          <w:rFonts w:ascii="Arial" w:cs="Arial" w:eastAsia="Arial" w:hAnsi="Arial"/>
          <w:sz w:val="21"/>
          <w:szCs w:val="21"/>
          <w:color w:val="auto"/>
        </w:rPr>
        <w:t>” and all related amendments (“ASC 842”), which requires virtually all leases be recognized by lessees on their balance sheet as right-of-use assets and corresponding lease liabilities. The adoption of ASC 842 had a material impact on the Company’s Consolidated Condensed Balance Sheet as total assets and total liabilities increased by approximately $20.9 million upon adoption. The adoption of ASC 842 did not have a material impact on the Company’s Consolidated Condensed Statement of Operations for the three and nine months ended October 31, 2019. See Note 4 for a further discussion of the Company’s adoption of this amended guidance.</w:t>
      </w:r>
    </w:p>
    <w:p>
      <w:pPr>
        <w:spacing w:after="0" w:line="205"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In August 2018, the Financial Accounting Standards Board (“FASB”) issued Accounting Standards Update (“ASU”) 2018-13, “</w:t>
      </w:r>
      <w:r>
        <w:rPr>
          <w:rFonts w:ascii="Arial" w:cs="Arial" w:eastAsia="Arial" w:hAnsi="Arial"/>
          <w:sz w:val="21"/>
          <w:szCs w:val="21"/>
          <w:i w:val="1"/>
          <w:iCs w:val="1"/>
          <w:color w:val="auto"/>
        </w:rPr>
        <w:t>Changes to Disclosure Requirements for Fair Value Measurements</w:t>
      </w:r>
      <w:r>
        <w:rPr>
          <w:rFonts w:ascii="Arial" w:cs="Arial" w:eastAsia="Arial" w:hAnsi="Arial"/>
          <w:sz w:val="21"/>
          <w:szCs w:val="21"/>
          <w:color w:val="auto"/>
        </w:rPr>
        <w:t>”, which improves the effectiveness of recurring and non-recurring fair value measurements disclosures. This standard removes, modifies and adds certain disclosure requirements and is effective for the Company beginning February 1, 2020. The Company has not determined the effect of this standard on its consolidated financial statements and related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5"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15 for disaggregation of net sales and revenue by operating segment and by product.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used the optional transition method in adopting ASC 842, which resulted in applying</w:t>
      </w:r>
    </w:p>
    <w:p>
      <w:pPr>
        <w:spacing w:after="0" w:line="17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 w:name="page13"/>
    <w:bookmarkEnd w:id="12"/>
    <w:p>
      <w:pPr>
        <w:ind w:right="560"/>
        <w:spacing w:after="0" w:line="251" w:lineRule="auto"/>
        <w:rPr>
          <w:sz w:val="20"/>
          <w:szCs w:val="20"/>
          <w:color w:val="auto"/>
        </w:rPr>
      </w:pPr>
      <w:r>
        <w:rPr>
          <w:rFonts w:ascii="Arial" w:cs="Arial" w:eastAsia="Arial" w:hAnsi="Arial"/>
          <w:sz w:val="22"/>
          <w:szCs w:val="22"/>
          <w:color w:val="auto"/>
        </w:rPr>
        <w:t>ASC 842 at the date of adoption (February 1, 2019). Thus, comparative information has not been restated and continues to be reported under accounting standards in effect for those periods.</w:t>
      </w:r>
    </w:p>
    <w:p>
      <w:pPr>
        <w:spacing w:after="0" w:line="200" w:lineRule="exact"/>
        <w:rPr>
          <w:sz w:val="20"/>
          <w:szCs w:val="20"/>
          <w:color w:val="auto"/>
        </w:rPr>
      </w:pPr>
    </w:p>
    <w:p>
      <w:pPr>
        <w:ind w:right="320" w:firstLine="648"/>
        <w:spacing w:after="0" w:line="297" w:lineRule="auto"/>
        <w:rPr>
          <w:sz w:val="20"/>
          <w:szCs w:val="20"/>
          <w:color w:val="auto"/>
        </w:rPr>
      </w:pPr>
      <w:r>
        <w:rPr>
          <w:rFonts w:ascii="Arial" w:cs="Arial" w:eastAsia="Arial" w:hAnsi="Arial"/>
          <w:sz w:val="19"/>
          <w:szCs w:val="19"/>
          <w:color w:val="auto"/>
        </w:rPr>
        <w:t>ASC 842 provides for three practical expedients, which the Company elected as a package. Pursuant to this package, the Company did not reassess: i) whether any expired or existing contracts are or contain leases; ii) the lease classification for any expired or existing leases that were previously classified as operating leases; or iii) the initial direct costs for any existing leases.</w:t>
      </w:r>
    </w:p>
    <w:p>
      <w:pPr>
        <w:spacing w:after="0" w:line="161"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20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At October 31, 2019,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2"/>
          </w:tcPr>
          <w:p>
            <w:pPr>
              <w:jc w:val="center"/>
              <w:ind w:right="680"/>
              <w:spacing w:after="0"/>
              <w:rPr>
                <w:sz w:val="20"/>
                <w:szCs w:val="20"/>
                <w:color w:val="auto"/>
              </w:rPr>
            </w:pPr>
            <w:r>
              <w:rPr>
                <w:rFonts w:ascii="Arial" w:cs="Arial" w:eastAsia="Arial" w:hAnsi="Arial"/>
                <w:sz w:val="22"/>
                <w:szCs w:val="22"/>
                <w:b w:val="1"/>
                <w:bCs w:val="1"/>
                <w:color w:val="auto"/>
                <w:w w:val="91"/>
              </w:rPr>
              <w:t>Three Months</w:t>
            </w:r>
          </w:p>
        </w:tc>
        <w:tc>
          <w:tcPr>
            <w:tcW w:w="200" w:type="dxa"/>
            <w:vAlign w:val="bottom"/>
          </w:tcPr>
          <w:p>
            <w:pPr>
              <w:spacing w:after="0"/>
              <w:rPr>
                <w:sz w:val="21"/>
                <w:szCs w:val="21"/>
                <w:color w:val="auto"/>
              </w:rPr>
            </w:pPr>
          </w:p>
        </w:tc>
        <w:tc>
          <w:tcPr>
            <w:tcW w:w="1600" w:type="dxa"/>
            <w:vAlign w:val="bottom"/>
          </w:tcPr>
          <w:p>
            <w:pPr>
              <w:jc w:val="center"/>
              <w:ind w:right="152"/>
              <w:spacing w:after="0"/>
              <w:rPr>
                <w:sz w:val="20"/>
                <w:szCs w:val="20"/>
                <w:color w:val="auto"/>
              </w:rPr>
            </w:pPr>
            <w:r>
              <w:rPr>
                <w:rFonts w:ascii="Arial" w:cs="Arial" w:eastAsia="Arial" w:hAnsi="Arial"/>
                <w:sz w:val="22"/>
                <w:szCs w:val="22"/>
                <w:b w:val="1"/>
                <w:bCs w:val="1"/>
                <w:color w:val="auto"/>
                <w:w w:val="89"/>
              </w:rPr>
              <w:t>Nine Months</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2"/>
          </w:tcPr>
          <w:p>
            <w:pPr>
              <w:jc w:val="center"/>
              <w:ind w:right="680"/>
              <w:spacing w:after="0" w:line="243" w:lineRule="exact"/>
              <w:rPr>
                <w:sz w:val="20"/>
                <w:szCs w:val="20"/>
                <w:color w:val="auto"/>
              </w:rPr>
            </w:pPr>
            <w:r>
              <w:rPr>
                <w:rFonts w:ascii="Arial" w:cs="Arial" w:eastAsia="Arial" w:hAnsi="Arial"/>
                <w:sz w:val="22"/>
                <w:szCs w:val="22"/>
                <w:b w:val="1"/>
                <w:bCs w:val="1"/>
                <w:color w:val="auto"/>
                <w:w w:val="89"/>
              </w:rPr>
              <w:t>Ended</w:t>
            </w:r>
          </w:p>
        </w:tc>
        <w:tc>
          <w:tcPr>
            <w:tcW w:w="200" w:type="dxa"/>
            <w:vAlign w:val="bottom"/>
          </w:tcPr>
          <w:p>
            <w:pPr>
              <w:spacing w:after="0"/>
              <w:rPr>
                <w:sz w:val="21"/>
                <w:szCs w:val="21"/>
                <w:color w:val="auto"/>
              </w:rPr>
            </w:pPr>
          </w:p>
        </w:tc>
        <w:tc>
          <w:tcPr>
            <w:tcW w:w="1600" w:type="dxa"/>
            <w:vAlign w:val="bottom"/>
          </w:tcPr>
          <w:p>
            <w:pPr>
              <w:jc w:val="center"/>
              <w:ind w:right="132"/>
              <w:spacing w:after="0" w:line="243" w:lineRule="exact"/>
              <w:rPr>
                <w:sz w:val="20"/>
                <w:szCs w:val="20"/>
                <w:color w:val="auto"/>
              </w:rPr>
            </w:pPr>
            <w:r>
              <w:rPr>
                <w:rFonts w:ascii="Arial" w:cs="Arial" w:eastAsia="Arial" w:hAnsi="Arial"/>
                <w:sz w:val="22"/>
                <w:szCs w:val="22"/>
                <w:b w:val="1"/>
                <w:bCs w:val="1"/>
                <w:color w:val="auto"/>
                <w:w w:val="89"/>
              </w:rPr>
              <w:t>Ended</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60" w:type="dxa"/>
            <w:vAlign w:val="bottom"/>
            <w:gridSpan w:val="3"/>
          </w:tcPr>
          <w:p>
            <w:pPr>
              <w:jc w:val="center"/>
              <w:ind w:right="540"/>
              <w:spacing w:after="0"/>
              <w:rPr>
                <w:sz w:val="20"/>
                <w:szCs w:val="20"/>
                <w:color w:val="auto"/>
              </w:rPr>
            </w:pPr>
            <w:r>
              <w:rPr>
                <w:rFonts w:ascii="Arial" w:cs="Arial" w:eastAsia="Arial" w:hAnsi="Arial"/>
                <w:sz w:val="22"/>
                <w:szCs w:val="22"/>
                <w:b w:val="1"/>
                <w:bCs w:val="1"/>
                <w:color w:val="auto"/>
                <w:w w:val="88"/>
              </w:rPr>
              <w:t>October 31, 2019</w:t>
            </w:r>
          </w:p>
        </w:tc>
        <w:tc>
          <w:tcPr>
            <w:tcW w:w="18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October 31, 2019</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Operating lease expense</w:t>
            </w:r>
          </w:p>
        </w:tc>
        <w:tc>
          <w:tcPr>
            <w:tcW w:w="10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120" w:type="dxa"/>
            <w:vAlign w:val="bottom"/>
            <w:gridSpan w:val="2"/>
            <w:shd w:val="clear" w:color="auto" w:fill="E5FFFF"/>
          </w:tcPr>
          <w:p>
            <w:pPr>
              <w:jc w:val="right"/>
              <w:ind w:right="540"/>
              <w:spacing w:after="0" w:line="243" w:lineRule="exact"/>
              <w:rPr>
                <w:sz w:val="20"/>
                <w:szCs w:val="20"/>
                <w:color w:val="auto"/>
              </w:rPr>
            </w:pPr>
            <w:r>
              <w:rPr>
                <w:rFonts w:ascii="Arial" w:cs="Arial" w:eastAsia="Arial" w:hAnsi="Arial"/>
                <w:sz w:val="22"/>
                <w:szCs w:val="22"/>
                <w:color w:val="auto"/>
              </w:rPr>
              <w:t>1,557</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4,867</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spacing w:after="0" w:line="243" w:lineRule="exact"/>
              <w:rPr>
                <w:sz w:val="20"/>
                <w:szCs w:val="20"/>
                <w:color w:val="auto"/>
              </w:rPr>
            </w:pPr>
            <w:r>
              <w:rPr>
                <w:rFonts w:ascii="Arial" w:cs="Arial" w:eastAsia="Arial" w:hAnsi="Arial"/>
                <w:sz w:val="22"/>
                <w:szCs w:val="22"/>
                <w:color w:val="auto"/>
              </w:rPr>
              <w:t>Variable lease expense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2"/>
          </w:tcPr>
          <w:p>
            <w:pPr>
              <w:jc w:val="right"/>
              <w:ind w:right="540"/>
              <w:spacing w:after="0" w:line="243" w:lineRule="exact"/>
              <w:rPr>
                <w:sz w:val="20"/>
                <w:szCs w:val="20"/>
                <w:color w:val="auto"/>
              </w:rPr>
            </w:pPr>
            <w:r>
              <w:rPr>
                <w:rFonts w:ascii="Arial" w:cs="Arial" w:eastAsia="Arial" w:hAnsi="Arial"/>
                <w:sz w:val="22"/>
                <w:szCs w:val="22"/>
                <w:color w:val="auto"/>
              </w:rPr>
              <w:t>139</w:t>
            </w:r>
          </w:p>
        </w:tc>
        <w:tc>
          <w:tcPr>
            <w:tcW w:w="200" w:type="dxa"/>
            <w:vAlign w:val="bottom"/>
          </w:tcPr>
          <w:p>
            <w:pPr>
              <w:spacing w:after="0"/>
              <w:rPr>
                <w:sz w:val="21"/>
                <w:szCs w:val="21"/>
                <w:color w:val="auto"/>
              </w:rPr>
            </w:pPr>
          </w:p>
        </w:tc>
        <w:tc>
          <w:tcPr>
            <w:tcW w:w="1600" w:type="dxa"/>
            <w:vAlign w:val="bottom"/>
          </w:tcPr>
          <w:p>
            <w:pPr>
              <w:jc w:val="right"/>
              <w:spacing w:after="0" w:line="243" w:lineRule="exact"/>
              <w:rPr>
                <w:sz w:val="20"/>
                <w:szCs w:val="20"/>
                <w:color w:val="auto"/>
              </w:rPr>
            </w:pPr>
            <w:r>
              <w:rPr>
                <w:rFonts w:ascii="Arial" w:cs="Arial" w:eastAsia="Arial" w:hAnsi="Arial"/>
                <w:sz w:val="22"/>
                <w:szCs w:val="22"/>
                <w:color w:val="auto"/>
              </w:rPr>
              <w:t>491</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lease expense</w:t>
            </w:r>
          </w:p>
        </w:tc>
        <w:tc>
          <w:tcPr>
            <w:tcW w:w="92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5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1,696</w:t>
            </w:r>
          </w:p>
        </w:tc>
        <w:tc>
          <w:tcPr>
            <w:tcW w:w="5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tcBorders>
              <w:top w:val="single" w:sz="8" w:color="auto"/>
              <w:bottom w:val="single" w:sz="8" w:color="auto"/>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5,358</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22"/>
                <w:szCs w:val="22"/>
                <w:color w:val="auto"/>
              </w:rPr>
              <w:t>13</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8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58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600" w:type="dxa"/>
            <w:vAlign w:val="bottom"/>
            <w:tcBorders>
              <w:bottom w:val="single" w:sz="8" w:color="C0C0C0"/>
            </w:tcBorders>
          </w:tcPr>
          <w:p>
            <w:pPr>
              <w:spacing w:after="0"/>
              <w:rPr>
                <w:sz w:val="20"/>
                <w:szCs w:val="20"/>
                <w:color w:val="auto"/>
              </w:rPr>
            </w:pPr>
          </w:p>
        </w:tc>
        <w:tc>
          <w:tcPr>
            <w:tcW w:w="34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2" w:right="239" w:bottom="1440" w:gutter="0" w:footer="0" w:header="0"/>
        </w:sectPr>
      </w:pPr>
    </w:p>
    <w:bookmarkStart w:id="13" w:name="page14"/>
    <w:bookmarkEnd w:id="13"/>
    <w:p>
      <w:pPr>
        <w:spacing w:after="0"/>
        <w:rPr>
          <w:sz w:val="20"/>
          <w:szCs w:val="20"/>
          <w:color w:val="auto"/>
        </w:rPr>
      </w:pPr>
      <w:r>
        <w:rPr>
          <w:rFonts w:ascii="Arial" w:cs="Arial" w:eastAsia="Arial" w:hAnsi="Arial"/>
          <w:sz w:val="21"/>
          <w:szCs w:val="21"/>
          <w:color w:val="auto"/>
        </w:rPr>
        <w:t>The following table is a summary of future minimum rentals on such leases at October 31, 2019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Years Ended January 31,</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22"/>
                <w:szCs w:val="22"/>
                <w:b w:val="1"/>
                <w:bCs w:val="1"/>
                <w:color w:val="auto"/>
                <w:w w:val="90"/>
              </w:rPr>
              <w:t>Rentals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2020</w:t>
            </w:r>
          </w:p>
        </w:tc>
        <w:tc>
          <w:tcPr>
            <w:tcW w:w="1300" w:type="dxa"/>
            <w:vAlign w:val="bottom"/>
            <w:gridSpan w:val="2"/>
            <w:shd w:val="clear" w:color="auto" w:fill="E5FFFF"/>
          </w:tcPr>
          <w:p>
            <w:pPr>
              <w:ind w:left="112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1,620</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line="243" w:lineRule="exact"/>
              <w:rPr>
                <w:sz w:val="20"/>
                <w:szCs w:val="20"/>
                <w:color w:val="auto"/>
              </w:rPr>
            </w:pPr>
            <w:r>
              <w:rPr>
                <w:rFonts w:ascii="Arial" w:cs="Arial" w:eastAsia="Arial" w:hAnsi="Arial"/>
                <w:sz w:val="22"/>
                <w:szCs w:val="22"/>
                <w:color w:val="auto"/>
              </w:rPr>
              <w:t>2021</w:t>
            </w: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5,668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2022</w:t>
            </w:r>
          </w:p>
        </w:tc>
        <w:tc>
          <w:tcPr>
            <w:tcW w:w="124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4,958</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3,251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124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2,085</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Borders>
              <w:bottom w:val="single" w:sz="8" w:color="E5FFFF"/>
            </w:tcBorders>
            <w:gridSpan w:val="2"/>
          </w:tcPr>
          <w:p>
            <w:pPr>
              <w:spacing w:after="0" w:line="243" w:lineRule="exact"/>
              <w:rPr>
                <w:sz w:val="20"/>
                <w:szCs w:val="20"/>
                <w:color w:val="auto"/>
              </w:rPr>
            </w:pPr>
            <w:r>
              <w:rPr>
                <w:rFonts w:ascii="Arial" w:cs="Arial" w:eastAsia="Arial" w:hAnsi="Arial"/>
                <w:sz w:val="22"/>
                <w:szCs w:val="22"/>
                <w:color w:val="auto"/>
              </w:rPr>
              <w:t>Thereafter</w:t>
            </w:r>
          </w:p>
        </w:tc>
        <w:tc>
          <w:tcPr>
            <w:tcW w:w="1120" w:type="dxa"/>
            <w:vAlign w:val="bottom"/>
            <w:tcBorders>
              <w:bottom w:val="single" w:sz="8" w:color="E5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1,257</w:t>
            </w:r>
          </w:p>
        </w:tc>
        <w:tc>
          <w:tcPr>
            <w:tcW w:w="4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1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18,839</w:t>
            </w:r>
          </w:p>
        </w:tc>
        <w:tc>
          <w:tcPr>
            <w:tcW w:w="4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Borders>
              <w:bottom w:val="single" w:sz="8" w:color="E5FFFF"/>
            </w:tcBorders>
            <w:gridSpan w:val="2"/>
          </w:tcPr>
          <w:p>
            <w:pPr>
              <w:spacing w:after="0" w:line="243" w:lineRule="exact"/>
              <w:rPr>
                <w:sz w:val="20"/>
                <w:szCs w:val="20"/>
                <w:color w:val="auto"/>
              </w:rPr>
            </w:pPr>
            <w:r>
              <w:rPr>
                <w:rFonts w:ascii="Arial" w:cs="Arial" w:eastAsia="Arial" w:hAnsi="Arial"/>
                <w:sz w:val="22"/>
                <w:szCs w:val="22"/>
                <w:color w:val="auto"/>
              </w:rPr>
              <w:t>Less: present value discount</w:t>
            </w:r>
          </w:p>
        </w:tc>
        <w:tc>
          <w:tcPr>
            <w:tcW w:w="1120" w:type="dxa"/>
            <w:vAlign w:val="bottom"/>
            <w:tcBorders>
              <w:bottom w:val="single" w:sz="8" w:color="E5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1,822</w:t>
            </w:r>
          </w:p>
        </w:tc>
        <w:tc>
          <w:tcPr>
            <w:tcW w:w="4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Borders>
              <w:bottom w:val="single" w:sz="8" w:color="E5FFFF"/>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Operating lease liabilities</w:t>
            </w:r>
          </w:p>
        </w:tc>
        <w:tc>
          <w:tcPr>
            <w:tcW w:w="1120" w:type="dxa"/>
            <w:vAlign w:val="bottom"/>
            <w:tcBorders>
              <w:bottom w:val="single" w:sz="8" w:color="E5FFFF"/>
            </w:tcBorders>
            <w:shd w:val="clear" w:color="auto" w:fill="E5FFFF"/>
          </w:tcPr>
          <w:p>
            <w:pPr>
              <w:spacing w:after="0"/>
              <w:rPr>
                <w:sz w:val="20"/>
                <w:szCs w:val="20"/>
                <w:color w:val="auto"/>
              </w:rPr>
            </w:pPr>
          </w:p>
        </w:tc>
        <w:tc>
          <w:tcPr>
            <w:tcW w:w="180" w:type="dxa"/>
            <w:vAlign w:val="bottom"/>
            <w:tcBorders>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17,017</w:t>
            </w:r>
          </w:p>
        </w:tc>
        <w:tc>
          <w:tcPr>
            <w:tcW w:w="40" w:type="dxa"/>
            <w:vAlign w:val="bottom"/>
            <w:tcBorders>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60" w:firstLine="648"/>
        <w:spacing w:after="0" w:line="251" w:lineRule="auto"/>
        <w:rPr>
          <w:sz w:val="20"/>
          <w:szCs w:val="20"/>
          <w:color w:val="auto"/>
        </w:rPr>
      </w:pPr>
      <w:r>
        <w:rPr>
          <w:rFonts w:ascii="Arial" w:cs="Arial" w:eastAsia="Arial" w:hAnsi="Arial"/>
          <w:sz w:val="22"/>
          <w:szCs w:val="22"/>
          <w:color w:val="auto"/>
        </w:rPr>
        <w:t>At October 31, 2019, the weighted average remaining lease term is 3.7 years and the weighted average discount rate is 5.46% for the above leases.</w:t>
      </w:r>
    </w:p>
    <w:p>
      <w:pPr>
        <w:spacing w:after="0" w:line="200" w:lineRule="exact"/>
        <w:rPr>
          <w:sz w:val="20"/>
          <w:szCs w:val="20"/>
          <w:color w:val="auto"/>
        </w:rPr>
      </w:pPr>
    </w:p>
    <w:p>
      <w:pPr>
        <w:jc w:val="both"/>
        <w:ind w:right="100" w:firstLine="648"/>
        <w:spacing w:after="0" w:line="328" w:lineRule="auto"/>
        <w:rPr>
          <w:sz w:val="20"/>
          <w:szCs w:val="20"/>
          <w:color w:val="auto"/>
        </w:rPr>
      </w:pPr>
      <w:r>
        <w:rPr>
          <w:rFonts w:ascii="Arial" w:cs="Arial" w:eastAsia="Arial" w:hAnsi="Arial"/>
          <w:sz w:val="19"/>
          <w:szCs w:val="19"/>
          <w:color w:val="auto"/>
        </w:rPr>
        <w:t>At January 31, 2019, the Company had operating lease agreements (pursuant to ASC 840, “</w:t>
      </w:r>
      <w:r>
        <w:rPr>
          <w:rFonts w:ascii="Arial" w:cs="Arial" w:eastAsia="Arial" w:hAnsi="Arial"/>
          <w:sz w:val="19"/>
          <w:szCs w:val="19"/>
          <w:i w:val="1"/>
          <w:iCs w:val="1"/>
          <w:color w:val="auto"/>
        </w:rPr>
        <w:t>Leases</w:t>
      </w:r>
      <w:r>
        <w:rPr>
          <w:rFonts w:ascii="Arial" w:cs="Arial" w:eastAsia="Arial" w:hAnsi="Arial"/>
          <w:sz w:val="19"/>
          <w:szCs w:val="19"/>
          <w:color w:val="auto"/>
        </w:rPr>
        <w:t>”), as lessee, for railcars and other equipment. At January 31, 2019, future minimum annual rentals on such leases were as follows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w w:val="89"/>
              </w:rPr>
              <w:t>Years Ended January 31,</w:t>
            </w: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22"/>
                <w:szCs w:val="22"/>
                <w:b w:val="1"/>
                <w:bCs w:val="1"/>
                <w:color w:val="auto"/>
                <w:w w:val="90"/>
              </w:rPr>
              <w:t>Rentals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2020</w:t>
            </w:r>
          </w:p>
        </w:tc>
        <w:tc>
          <w:tcPr>
            <w:tcW w:w="2540" w:type="dxa"/>
            <w:vAlign w:val="bottom"/>
            <w:gridSpan w:val="2"/>
            <w:shd w:val="clear" w:color="auto" w:fill="E5FFFF"/>
          </w:tcPr>
          <w:p>
            <w:pPr>
              <w:ind w:left="2360"/>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6,767</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line="243" w:lineRule="exact"/>
              <w:rPr>
                <w:sz w:val="20"/>
                <w:szCs w:val="20"/>
                <w:color w:val="auto"/>
              </w:rPr>
            </w:pPr>
            <w:r>
              <w:rPr>
                <w:rFonts w:ascii="Arial" w:cs="Arial" w:eastAsia="Arial" w:hAnsi="Arial"/>
                <w:sz w:val="22"/>
                <w:szCs w:val="22"/>
                <w:color w:val="auto"/>
              </w:rPr>
              <w:t>2021</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5,487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2022</w:t>
            </w:r>
          </w:p>
        </w:tc>
        <w:tc>
          <w:tcPr>
            <w:tcW w:w="23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4,791</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3,208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23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2,041</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Borders>
              <w:bottom w:val="single" w:sz="8" w:color="E5FFFF"/>
            </w:tcBorders>
          </w:tcPr>
          <w:p>
            <w:pPr>
              <w:spacing w:after="0" w:line="243" w:lineRule="exact"/>
              <w:rPr>
                <w:sz w:val="20"/>
                <w:szCs w:val="20"/>
                <w:color w:val="auto"/>
              </w:rPr>
            </w:pPr>
            <w:r>
              <w:rPr>
                <w:rFonts w:ascii="Arial" w:cs="Arial" w:eastAsia="Arial" w:hAnsi="Arial"/>
                <w:sz w:val="22"/>
                <w:szCs w:val="22"/>
                <w:color w:val="auto"/>
              </w:rPr>
              <w:t>Thereafter</w:t>
            </w:r>
          </w:p>
        </w:tc>
        <w:tc>
          <w:tcPr>
            <w:tcW w:w="2360" w:type="dxa"/>
            <w:vAlign w:val="bottom"/>
            <w:tcBorders>
              <w:bottom w:val="single" w:sz="8" w:color="E5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1,221</w:t>
            </w:r>
          </w:p>
        </w:tc>
        <w:tc>
          <w:tcPr>
            <w:tcW w:w="4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2360" w:type="dxa"/>
            <w:vAlign w:val="bottom"/>
            <w:tcBorders>
              <w:bottom w:val="single" w:sz="8" w:color="E5FFFF"/>
            </w:tcBorders>
            <w:shd w:val="clear" w:color="auto" w:fill="E5FFFF"/>
          </w:tcPr>
          <w:p>
            <w:pPr>
              <w:spacing w:after="0"/>
              <w:rPr>
                <w:sz w:val="20"/>
                <w:szCs w:val="20"/>
                <w:color w:val="auto"/>
              </w:rPr>
            </w:pPr>
          </w:p>
        </w:tc>
        <w:tc>
          <w:tcPr>
            <w:tcW w:w="180" w:type="dxa"/>
            <w:vAlign w:val="bottom"/>
            <w:tcBorders>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23,515</w:t>
            </w:r>
          </w:p>
        </w:tc>
        <w:tc>
          <w:tcPr>
            <w:tcW w:w="40" w:type="dxa"/>
            <w:vAlign w:val="bottom"/>
            <w:tcBorders>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determines the fair market values of its financial instruments based on the fair value hierarchy established by ASC 820 which requires an entity to maximize the use of observable inputs and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4" w:name="page15"/>
    <w:bookmarkEnd w:id="14"/>
    <w:p>
      <w:pPr>
        <w:ind w:right="60"/>
        <w:spacing w:after="0"/>
        <w:rPr>
          <w:sz w:val="20"/>
          <w:szCs w:val="20"/>
          <w:color w:val="auto"/>
        </w:rPr>
      </w:pPr>
      <w:r>
        <w:rPr>
          <w:rFonts w:ascii="Arial" w:cs="Arial" w:eastAsia="Arial" w:hAnsi="Arial"/>
          <w:sz w:val="22"/>
          <w:szCs w:val="22"/>
          <w:color w:val="auto"/>
        </w:rPr>
        <w:t>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21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October 31, 2019 are summarized below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22"/>
                <w:szCs w:val="22"/>
                <w:b w:val="1"/>
                <w:bCs w:val="1"/>
                <w:color w:val="auto"/>
                <w:w w:val="88"/>
              </w:rPr>
              <w:t>Level 1</w:t>
            </w:r>
          </w:p>
        </w:tc>
        <w:tc>
          <w:tcPr>
            <w:tcW w:w="120" w:type="dxa"/>
            <w:vAlign w:val="bottom"/>
          </w:tcPr>
          <w:p>
            <w:pPr>
              <w:spacing w:after="0"/>
              <w:rPr>
                <w:sz w:val="23"/>
                <w:szCs w:val="23"/>
                <w:color w:val="auto"/>
              </w:rPr>
            </w:pPr>
          </w:p>
        </w:tc>
        <w:tc>
          <w:tcPr>
            <w:tcW w:w="900" w:type="dxa"/>
            <w:vAlign w:val="bottom"/>
            <w:gridSpan w:val="2"/>
          </w:tcPr>
          <w:p>
            <w:pPr>
              <w:ind w:left="40"/>
              <w:spacing w:after="0"/>
              <w:rPr>
                <w:sz w:val="20"/>
                <w:szCs w:val="20"/>
                <w:color w:val="auto"/>
              </w:rPr>
            </w:pPr>
            <w:r>
              <w:rPr>
                <w:rFonts w:ascii="Arial" w:cs="Arial" w:eastAsia="Arial" w:hAnsi="Arial"/>
                <w:sz w:val="22"/>
                <w:szCs w:val="22"/>
                <w:b w:val="1"/>
                <w:bCs w:val="1"/>
                <w:color w:val="auto"/>
              </w:rPr>
              <w:t>Level 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22"/>
                <w:szCs w:val="22"/>
                <w:b w:val="1"/>
                <w:bCs w:val="1"/>
                <w:color w:val="auto"/>
              </w:rPr>
              <w:t>Level 3</w:t>
            </w:r>
          </w:p>
        </w:tc>
        <w:tc>
          <w:tcPr>
            <w:tcW w:w="1080" w:type="dxa"/>
            <w:vAlign w:val="bottom"/>
            <w:gridSpan w:val="3"/>
          </w:tcPr>
          <w:p>
            <w:pPr>
              <w:ind w:left="20"/>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1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341</w:t>
            </w:r>
          </w:p>
        </w:tc>
        <w:tc>
          <w:tcPr>
            <w:tcW w:w="3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341</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line="243" w:lineRule="exact"/>
              <w:rPr>
                <w:sz w:val="20"/>
                <w:szCs w:val="20"/>
                <w:color w:val="auto"/>
              </w:rPr>
            </w:pPr>
            <w:r>
              <w:rPr>
                <w:rFonts w:ascii="Arial" w:cs="Arial" w:eastAsia="Arial" w:hAnsi="Arial"/>
                <w:sz w:val="22"/>
                <w:szCs w:val="22"/>
                <w:color w:val="auto"/>
              </w:rPr>
              <w:t>Forward purchase contract asset (2)</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(2)</w:t>
            </w:r>
          </w:p>
        </w:tc>
        <w:tc>
          <w:tcPr>
            <w:tcW w:w="12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150</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150</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line="237" w:lineRule="exact"/>
              <w:rPr>
                <w:sz w:val="20"/>
                <w:szCs w:val="20"/>
                <w:color w:val="auto"/>
              </w:rPr>
            </w:pPr>
            <w:r>
              <w:rPr>
                <w:rFonts w:ascii="Arial" w:cs="Arial" w:eastAsia="Arial" w:hAnsi="Arial"/>
                <w:sz w:val="22"/>
                <w:szCs w:val="22"/>
                <w:color w:val="auto"/>
              </w:rPr>
              <w:t>Total assets</w:t>
            </w:r>
          </w:p>
        </w:tc>
        <w:tc>
          <w:tcPr>
            <w:tcW w:w="1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341</w:t>
            </w:r>
          </w:p>
        </w:tc>
        <w:tc>
          <w:tcPr>
            <w:tcW w:w="3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liability (4)</w:t>
            </w:r>
          </w:p>
        </w:tc>
        <w:tc>
          <w:tcPr>
            <w:tcW w:w="13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165</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165</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Financial assets and liabilities measured at fair value on a recurring basis at January 31, 2019 are summarized below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22"/>
                <w:szCs w:val="22"/>
                <w:b w:val="1"/>
                <w:bCs w:val="1"/>
                <w:color w:val="auto"/>
                <w:w w:val="88"/>
              </w:rPr>
              <w:t>Level 1</w:t>
            </w:r>
          </w:p>
        </w:tc>
        <w:tc>
          <w:tcPr>
            <w:tcW w:w="120" w:type="dxa"/>
            <w:vAlign w:val="bottom"/>
          </w:tcPr>
          <w:p>
            <w:pPr>
              <w:spacing w:after="0"/>
              <w:rPr>
                <w:sz w:val="23"/>
                <w:szCs w:val="23"/>
                <w:color w:val="auto"/>
              </w:rPr>
            </w:pPr>
          </w:p>
        </w:tc>
        <w:tc>
          <w:tcPr>
            <w:tcW w:w="900" w:type="dxa"/>
            <w:vAlign w:val="bottom"/>
            <w:gridSpan w:val="2"/>
          </w:tcPr>
          <w:p>
            <w:pPr>
              <w:ind w:left="40"/>
              <w:spacing w:after="0"/>
              <w:rPr>
                <w:sz w:val="20"/>
                <w:szCs w:val="20"/>
                <w:color w:val="auto"/>
              </w:rPr>
            </w:pPr>
            <w:r>
              <w:rPr>
                <w:rFonts w:ascii="Arial" w:cs="Arial" w:eastAsia="Arial" w:hAnsi="Arial"/>
                <w:sz w:val="22"/>
                <w:szCs w:val="22"/>
                <w:b w:val="1"/>
                <w:bCs w:val="1"/>
                <w:color w:val="auto"/>
              </w:rPr>
              <w:t>Level 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22"/>
                <w:szCs w:val="22"/>
                <w:b w:val="1"/>
                <w:bCs w:val="1"/>
                <w:color w:val="auto"/>
              </w:rPr>
              <w:t>Level 3</w:t>
            </w:r>
          </w:p>
        </w:tc>
        <w:tc>
          <w:tcPr>
            <w:tcW w:w="1080" w:type="dxa"/>
            <w:vAlign w:val="bottom"/>
            <w:gridSpan w:val="3"/>
          </w:tcPr>
          <w:p>
            <w:pPr>
              <w:ind w:left="20"/>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12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333</w:t>
            </w:r>
          </w:p>
        </w:tc>
        <w:tc>
          <w:tcPr>
            <w:tcW w:w="3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333</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Commodity futures (2)</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assets</w:t>
            </w:r>
          </w:p>
        </w:tc>
        <w:tc>
          <w:tcPr>
            <w:tcW w:w="11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44</w:t>
            </w: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333</w:t>
            </w:r>
          </w:p>
        </w:tc>
        <w:tc>
          <w:tcPr>
            <w:tcW w:w="380" w:type="dxa"/>
            <w:vAlign w:val="bottom"/>
            <w:tcBorders>
              <w:top w:val="single" w:sz="8" w:color="E5FFFF"/>
              <w:bottom w:val="single" w:sz="8" w:color="E5FFFF"/>
            </w:tcBorders>
            <w:shd w:val="clear" w:color="auto" w:fill="E5FFFF"/>
          </w:tcPr>
          <w:p>
            <w:pPr>
              <w:spacing w:after="0"/>
              <w:rPr>
                <w:sz w:val="20"/>
                <w:szCs w:val="20"/>
                <w:color w:val="auto"/>
              </w:rPr>
            </w:pPr>
          </w:p>
        </w:tc>
        <w:tc>
          <w:tcPr>
            <w:tcW w:w="3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6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377</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60" w:type="dxa"/>
            <w:vAlign w:val="bottom"/>
            <w:gridSpan w:val="2"/>
          </w:tcPr>
          <w:p>
            <w:pPr>
              <w:spacing w:after="0"/>
              <w:rPr>
                <w:sz w:val="20"/>
                <w:szCs w:val="20"/>
                <w:color w:val="auto"/>
              </w:rPr>
            </w:pPr>
            <w:r>
              <w:rPr>
                <w:rFonts w:ascii="Arial" w:cs="Arial" w:eastAsia="Arial" w:hAnsi="Arial"/>
                <w:sz w:val="22"/>
                <w:szCs w:val="22"/>
                <w:color w:val="auto"/>
              </w:rPr>
              <w:t>Forward purchase contract liability (3)</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22"/>
                <w:szCs w:val="22"/>
                <w:color w:val="auto"/>
              </w:rPr>
              <w: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22</w:t>
            </w:r>
          </w:p>
        </w:tc>
        <w:tc>
          <w:tcPr>
            <w:tcW w:w="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2"/>
                <w:szCs w:val="22"/>
                <w:color w:val="auto"/>
              </w:rPr>
              <w:t>$</w:t>
            </w:r>
          </w:p>
        </w:tc>
        <w:tc>
          <w:tcPr>
            <w:tcW w:w="600" w:type="dxa"/>
            <w:vAlign w:val="bottom"/>
          </w:tcPr>
          <w:p>
            <w:pPr>
              <w:jc w:val="right"/>
              <w:spacing w:after="0"/>
              <w:rPr>
                <w:sz w:val="20"/>
                <w:szCs w:val="20"/>
                <w:color w:val="auto"/>
              </w:rPr>
            </w:pPr>
            <w:r>
              <w:rPr>
                <w:rFonts w:ascii="Arial" w:cs="Arial" w:eastAsia="Arial" w:hAnsi="Arial"/>
                <w:sz w:val="22"/>
                <w:szCs w:val="22"/>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5" w:name="page16"/>
    <w:bookmarkEnd w:id="15"/>
    <w:p>
      <w:pPr>
        <w:ind w:right="300" w:firstLine="656"/>
        <w:spacing w:after="0" w:line="239" w:lineRule="auto"/>
        <w:tabs>
          <w:tab w:leader="none" w:pos="9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forward purchase contract asset and commodity futures asset are included in “Prepaid expenses and other current assets” on the accompanying Consolidated Condensed Balance Sheets.</w:t>
      </w:r>
    </w:p>
    <w:p>
      <w:pPr>
        <w:ind w:right="1080" w:firstLine="656"/>
        <w:spacing w:after="0" w:line="230" w:lineRule="auto"/>
        <w:tabs>
          <w:tab w:leader="none" w:pos="9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forward purchase contract liability is included in “Accrued expenses and other current liabilities” on the accompanying Consolidated Condensed Balance Sheets.</w:t>
      </w:r>
    </w:p>
    <w:p>
      <w:pPr>
        <w:spacing w:after="0" w:line="1" w:lineRule="exact"/>
        <w:rPr>
          <w:rFonts w:ascii="Arial" w:cs="Arial" w:eastAsia="Arial" w:hAnsi="Arial"/>
          <w:sz w:val="22"/>
          <w:szCs w:val="22"/>
          <w:color w:val="auto"/>
        </w:rPr>
      </w:pPr>
    </w:p>
    <w:p>
      <w:pPr>
        <w:ind w:right="380" w:firstLine="656"/>
        <w:spacing w:after="0" w:line="237" w:lineRule="auto"/>
        <w:tabs>
          <w:tab w:leader="none" w:pos="9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commodity futures liability is included in “Accrued expenses and other current liabilities” on the accompanying Consolidated Condensed Balance Sheets.</w:t>
      </w:r>
    </w:p>
    <w:p>
      <w:pPr>
        <w:spacing w:after="0" w:line="212" w:lineRule="exact"/>
        <w:rPr>
          <w:sz w:val="20"/>
          <w:szCs w:val="20"/>
          <w:color w:val="auto"/>
        </w:rPr>
      </w:pPr>
    </w:p>
    <w:p>
      <w:pPr>
        <w:ind w:right="180"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There were no assets measured at fair value on a non-recurring basis at October 31, 2019 or January 31, 2019.</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property and equipment are as follows for the periods presented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40" w:type="dxa"/>
            <w:vAlign w:val="bottom"/>
            <w:gridSpan w:val="3"/>
          </w:tcPr>
          <w:p>
            <w:pPr>
              <w:spacing w:after="0"/>
              <w:rPr>
                <w:sz w:val="20"/>
                <w:szCs w:val="20"/>
                <w:color w:val="auto"/>
              </w:rPr>
            </w:pPr>
            <w:r>
              <w:rPr>
                <w:rFonts w:ascii="Arial" w:cs="Arial" w:eastAsia="Arial" w:hAnsi="Arial"/>
                <w:sz w:val="22"/>
                <w:szCs w:val="22"/>
                <w:b w:val="1"/>
                <w:bCs w:val="1"/>
                <w:color w:val="auto"/>
              </w:rPr>
              <w:t>October 31,</w:t>
            </w:r>
          </w:p>
        </w:tc>
        <w:tc>
          <w:tcPr>
            <w:tcW w:w="1160" w:type="dxa"/>
            <w:vAlign w:val="bottom"/>
            <w:gridSpan w:val="3"/>
          </w:tcPr>
          <w:p>
            <w:pPr>
              <w:spacing w:after="0"/>
              <w:rPr>
                <w:sz w:val="20"/>
                <w:szCs w:val="20"/>
                <w:color w:val="auto"/>
              </w:rPr>
            </w:pPr>
            <w:r>
              <w:rPr>
                <w:rFonts w:ascii="Arial" w:cs="Arial" w:eastAsia="Arial" w:hAnsi="Arial"/>
                <w:sz w:val="22"/>
                <w:szCs w:val="22"/>
                <w:b w:val="1"/>
                <w:bCs w:val="1"/>
                <w:color w:val="auto"/>
                <w:w w:val="94"/>
              </w:rPr>
              <w:t>January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2019</w:t>
            </w:r>
          </w:p>
        </w:tc>
        <w:tc>
          <w:tcPr>
            <w:tcW w:w="6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200" w:type="dxa"/>
            <w:vAlign w:val="bottom"/>
            <w:gridSpan w:val="2"/>
            <w:shd w:val="clear" w:color="auto" w:fill="E5FFFF"/>
          </w:tcPr>
          <w:p>
            <w:pPr>
              <w:ind w:left="102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21,481</w:t>
            </w:r>
          </w:p>
        </w:tc>
        <w:tc>
          <w:tcPr>
            <w:tcW w:w="6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21,469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23,642</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23,608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0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299,801</w:t>
            </w:r>
          </w:p>
        </w:tc>
        <w:tc>
          <w:tcPr>
            <w:tcW w:w="6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297,807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line="243" w:lineRule="exact"/>
              <w:rPr>
                <w:sz w:val="20"/>
                <w:szCs w:val="20"/>
                <w:color w:val="auto"/>
              </w:rPr>
            </w:pPr>
            <w:r>
              <w:rPr>
                <w:rFonts w:ascii="Arial" w:cs="Arial" w:eastAsia="Arial" w:hAnsi="Arial"/>
                <w:sz w:val="22"/>
                <w:szCs w:val="22"/>
                <w:color w:val="auto"/>
              </w:rPr>
              <w:t>Construction in progress</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1,014</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Borders>
              <w:top w:val="single" w:sz="8" w:color="E5FFFF"/>
            </w:tcBorders>
            <w:shd w:val="clear" w:color="auto" w:fill="E5FFFF"/>
          </w:tcPr>
          <w:p>
            <w:pPr>
              <w:spacing w:after="0"/>
              <w:rPr>
                <w:sz w:val="20"/>
                <w:szCs w:val="20"/>
                <w:color w:val="auto"/>
              </w:rPr>
            </w:pPr>
          </w:p>
        </w:tc>
        <w:tc>
          <w:tcPr>
            <w:tcW w:w="102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345,938</w:t>
            </w:r>
          </w:p>
        </w:tc>
        <w:tc>
          <w:tcPr>
            <w:tcW w:w="66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9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343,592</w:t>
            </w:r>
          </w:p>
        </w:tc>
        <w:tc>
          <w:tcPr>
            <w:tcW w:w="6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spacing w:after="0" w:line="243" w:lineRule="exact"/>
              <w:rPr>
                <w:sz w:val="20"/>
                <w:szCs w:val="20"/>
                <w:color w:val="auto"/>
              </w:rPr>
            </w:pPr>
            <w:r>
              <w:rPr>
                <w:rFonts w:ascii="Arial" w:cs="Arial" w:eastAsia="Arial" w:hAnsi="Arial"/>
                <w:sz w:val="22"/>
                <w:szCs w:val="22"/>
                <w:color w:val="auto"/>
              </w:rPr>
              <w:t>Less: accumulated depreciation</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w w:val="93"/>
              </w:rPr>
              <w:t>(178,184)</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5"/>
              </w:rPr>
              <w:t>(161,071)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02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167,754</w:t>
            </w:r>
          </w:p>
        </w:tc>
        <w:tc>
          <w:tcPr>
            <w:tcW w:w="66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182,521</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Other Assets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other assets are as follows for the periods presented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40" w:type="dxa"/>
            <w:vAlign w:val="bottom"/>
            <w:gridSpan w:val="3"/>
          </w:tcPr>
          <w:p>
            <w:pPr>
              <w:spacing w:after="0"/>
              <w:rPr>
                <w:sz w:val="20"/>
                <w:szCs w:val="20"/>
                <w:color w:val="auto"/>
              </w:rPr>
            </w:pPr>
            <w:r>
              <w:rPr>
                <w:rFonts w:ascii="Arial" w:cs="Arial" w:eastAsia="Arial" w:hAnsi="Arial"/>
                <w:sz w:val="22"/>
                <w:szCs w:val="22"/>
                <w:b w:val="1"/>
                <w:bCs w:val="1"/>
                <w:color w:val="auto"/>
              </w:rPr>
              <w:t>October 31,</w:t>
            </w:r>
          </w:p>
        </w:tc>
        <w:tc>
          <w:tcPr>
            <w:tcW w:w="1160" w:type="dxa"/>
            <w:vAlign w:val="bottom"/>
            <w:gridSpan w:val="2"/>
          </w:tcPr>
          <w:p>
            <w:pPr>
              <w:spacing w:after="0"/>
              <w:rPr>
                <w:sz w:val="20"/>
                <w:szCs w:val="20"/>
                <w:color w:val="auto"/>
              </w:rPr>
            </w:pPr>
            <w:r>
              <w:rPr>
                <w:rFonts w:ascii="Arial" w:cs="Arial" w:eastAsia="Arial" w:hAnsi="Arial"/>
                <w:sz w:val="22"/>
                <w:szCs w:val="22"/>
                <w:b w:val="1"/>
                <w:bCs w:val="1"/>
                <w:color w:val="auto"/>
                <w:w w:val="92"/>
              </w:rPr>
              <w:t>January 31,</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2019</w:t>
            </w:r>
          </w:p>
        </w:tc>
        <w:tc>
          <w:tcPr>
            <w:tcW w:w="6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2019</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Deferred income taxes</w:t>
            </w:r>
          </w:p>
        </w:tc>
        <w:tc>
          <w:tcPr>
            <w:tcW w:w="1780" w:type="dxa"/>
            <w:vAlign w:val="bottom"/>
            <w:gridSpan w:val="2"/>
            <w:shd w:val="clear" w:color="auto" w:fill="E5FFFF"/>
          </w:tcPr>
          <w:p>
            <w:pPr>
              <w:ind w:left="1560"/>
              <w:spacing w:after="0" w:line="243" w:lineRule="exact"/>
              <w:rPr>
                <w:sz w:val="20"/>
                <w:szCs w:val="20"/>
                <w:color w:val="auto"/>
              </w:rPr>
            </w:pPr>
            <w:r>
              <w:rPr>
                <w:rFonts w:ascii="Arial" w:cs="Arial" w:eastAsia="Arial" w:hAnsi="Arial"/>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15,449</w:t>
            </w: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94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5,843</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814</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333</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5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16,263</w:t>
            </w:r>
          </w:p>
        </w:tc>
        <w:tc>
          <w:tcPr>
            <w:tcW w:w="6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940" w:type="dxa"/>
            <w:vAlign w:val="bottom"/>
            <w:tcBorders>
              <w:top w:val="single" w:sz="8" w:color="auto"/>
              <w:bottom w:val="single" w:sz="8" w:color="auto"/>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6,176</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Arial" w:cs="Arial" w:eastAsia="Arial" w:hAnsi="Arial"/>
                <w:sz w:val="22"/>
                <w:szCs w:val="22"/>
                <w:color w:val="auto"/>
              </w:rPr>
              <w:t>16</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0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34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2"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620" w:firstLine="648"/>
        <w:spacing w:after="0" w:line="251"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40" w:type="dxa"/>
            <w:vAlign w:val="bottom"/>
            <w:gridSpan w:val="3"/>
          </w:tcPr>
          <w:p>
            <w:pPr>
              <w:spacing w:after="0"/>
              <w:rPr>
                <w:sz w:val="20"/>
                <w:szCs w:val="20"/>
                <w:color w:val="auto"/>
              </w:rPr>
            </w:pPr>
            <w:r>
              <w:rPr>
                <w:rFonts w:ascii="Arial" w:cs="Arial" w:eastAsia="Arial" w:hAnsi="Arial"/>
                <w:sz w:val="22"/>
                <w:szCs w:val="22"/>
                <w:b w:val="1"/>
                <w:bCs w:val="1"/>
                <w:color w:val="auto"/>
              </w:rPr>
              <w:t>October 31,</w:t>
            </w:r>
          </w:p>
        </w:tc>
        <w:tc>
          <w:tcPr>
            <w:tcW w:w="1160" w:type="dxa"/>
            <w:vAlign w:val="bottom"/>
            <w:gridSpan w:val="3"/>
          </w:tcPr>
          <w:p>
            <w:pPr>
              <w:spacing w:after="0"/>
              <w:rPr>
                <w:sz w:val="20"/>
                <w:szCs w:val="20"/>
                <w:color w:val="auto"/>
              </w:rPr>
            </w:pPr>
            <w:r>
              <w:rPr>
                <w:rFonts w:ascii="Arial" w:cs="Arial" w:eastAsia="Arial" w:hAnsi="Arial"/>
                <w:sz w:val="22"/>
                <w:szCs w:val="22"/>
                <w:b w:val="1"/>
                <w:bCs w:val="1"/>
                <w:color w:val="auto"/>
                <w:w w:val="94"/>
              </w:rPr>
              <w:t>January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2019</w:t>
            </w:r>
          </w:p>
        </w:tc>
        <w:tc>
          <w:tcPr>
            <w:tcW w:w="6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180" w:type="dxa"/>
            <w:vAlign w:val="bottom"/>
            <w:gridSpan w:val="2"/>
            <w:shd w:val="clear" w:color="auto" w:fill="E5FFFF"/>
          </w:tcPr>
          <w:p>
            <w:pPr>
              <w:ind w:left="960"/>
              <w:spacing w:after="0" w:line="243" w:lineRule="exact"/>
              <w:rPr>
                <w:sz w:val="20"/>
                <w:szCs w:val="20"/>
                <w:color w:val="auto"/>
              </w:rPr>
            </w:pPr>
            <w:r>
              <w:rPr>
                <w:rFonts w:ascii="Arial" w:cs="Arial" w:eastAsia="Arial" w:hAnsi="Arial"/>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691</w:t>
            </w: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2,041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1,287</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2,924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9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1,500</w:t>
            </w: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1,567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1,305</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income taxes</w:t>
            </w:r>
          </w:p>
        </w:tc>
        <w:tc>
          <w:tcPr>
            <w:tcW w:w="9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54</w:t>
            </w: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1,394</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9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6,231</w:t>
            </w:r>
          </w:p>
        </w:tc>
        <w:tc>
          <w:tcPr>
            <w:tcW w:w="66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9,546</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215" w:lineRule="exact"/>
        <w:rPr>
          <w:sz w:val="20"/>
          <w:szCs w:val="20"/>
          <w:color w:val="auto"/>
        </w:rPr>
      </w:pPr>
    </w:p>
    <w:p>
      <w:pPr>
        <w:ind w:right="220" w:firstLine="648"/>
        <w:spacing w:after="0" w:line="258"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7"/>
              </w:rPr>
              <w:t>Asset Derivatives</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4"/>
          </w:tcPr>
          <w:p>
            <w:pPr>
              <w:jc w:val="right"/>
              <w:ind w:right="92"/>
              <w:spacing w:after="0"/>
              <w:rPr>
                <w:sz w:val="20"/>
                <w:szCs w:val="20"/>
                <w:color w:val="auto"/>
              </w:rPr>
            </w:pPr>
            <w:r>
              <w:rPr>
                <w:rFonts w:ascii="Arial" w:cs="Arial" w:eastAsia="Arial" w:hAnsi="Arial"/>
                <w:sz w:val="22"/>
                <w:szCs w:val="22"/>
                <w:b w:val="1"/>
                <w:bCs w:val="1"/>
                <w:color w:val="auto"/>
              </w:rPr>
              <w:t>Liability Derivatives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4"/>
          </w:tcPr>
          <w:p>
            <w:pPr>
              <w:jc w:val="center"/>
              <w:spacing w:after="0" w:line="243" w:lineRule="exact"/>
              <w:rPr>
                <w:sz w:val="20"/>
                <w:szCs w:val="20"/>
                <w:color w:val="auto"/>
              </w:rPr>
            </w:pPr>
            <w:r>
              <w:rPr>
                <w:rFonts w:ascii="Arial" w:cs="Arial" w:eastAsia="Arial" w:hAnsi="Arial"/>
                <w:sz w:val="22"/>
                <w:szCs w:val="22"/>
                <w:b w:val="1"/>
                <w:bCs w:val="1"/>
                <w:color w:val="auto"/>
                <w:w w:val="91"/>
              </w:rPr>
              <w:t>Fair Value</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4"/>
          </w:tcPr>
          <w:p>
            <w:pPr>
              <w:jc w:val="right"/>
              <w:ind w:right="552"/>
              <w:spacing w:after="0" w:line="243" w:lineRule="exact"/>
              <w:rPr>
                <w:sz w:val="20"/>
                <w:szCs w:val="20"/>
                <w:color w:val="auto"/>
              </w:rPr>
            </w:pPr>
            <w:r>
              <w:rPr>
                <w:rFonts w:ascii="Arial" w:cs="Arial" w:eastAsia="Arial" w:hAnsi="Arial"/>
                <w:sz w:val="22"/>
                <w:szCs w:val="22"/>
                <w:b w:val="1"/>
                <w:bCs w:val="1"/>
                <w:color w:val="auto"/>
              </w:rPr>
              <w:t>Fair Value</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00" w:type="dxa"/>
            <w:vAlign w:val="bottom"/>
            <w:gridSpan w:val="3"/>
          </w:tcPr>
          <w:p>
            <w:pPr>
              <w:jc w:val="center"/>
              <w:ind w:right="220"/>
              <w:spacing w:after="0" w:line="243" w:lineRule="exact"/>
              <w:rPr>
                <w:sz w:val="20"/>
                <w:szCs w:val="20"/>
                <w:color w:val="auto"/>
              </w:rPr>
            </w:pPr>
            <w:r>
              <w:rPr>
                <w:rFonts w:ascii="Arial" w:cs="Arial" w:eastAsia="Arial" w:hAnsi="Arial"/>
                <w:sz w:val="22"/>
                <w:szCs w:val="22"/>
                <w:b w:val="1"/>
                <w:bCs w:val="1"/>
                <w:color w:val="auto"/>
                <w:w w:val="89"/>
              </w:rPr>
              <w:t>October 31,</w:t>
            </w:r>
          </w:p>
        </w:tc>
        <w:tc>
          <w:tcPr>
            <w:tcW w:w="240" w:type="dxa"/>
            <w:vAlign w:val="bottom"/>
          </w:tcPr>
          <w:p>
            <w:pPr>
              <w:spacing w:after="0"/>
              <w:rPr>
                <w:sz w:val="21"/>
                <w:szCs w:val="21"/>
                <w:color w:val="auto"/>
              </w:rPr>
            </w:pPr>
          </w:p>
        </w:tc>
        <w:tc>
          <w:tcPr>
            <w:tcW w:w="1260" w:type="dxa"/>
            <w:vAlign w:val="bottom"/>
            <w:gridSpan w:val="2"/>
          </w:tcPr>
          <w:p>
            <w:pPr>
              <w:jc w:val="right"/>
              <w:spacing w:after="0" w:line="243" w:lineRule="exact"/>
              <w:rPr>
                <w:sz w:val="20"/>
                <w:szCs w:val="20"/>
                <w:color w:val="auto"/>
              </w:rPr>
            </w:pPr>
            <w:r>
              <w:rPr>
                <w:rFonts w:ascii="Arial" w:cs="Arial" w:eastAsia="Arial" w:hAnsi="Arial"/>
                <w:sz w:val="22"/>
                <w:szCs w:val="22"/>
                <w:b w:val="1"/>
                <w:bCs w:val="1"/>
                <w:color w:val="auto"/>
                <w:w w:val="95"/>
              </w:rPr>
              <w:t>January 31,</w:t>
            </w:r>
          </w:p>
        </w:tc>
        <w:tc>
          <w:tcPr>
            <w:tcW w:w="440" w:type="dxa"/>
            <w:vAlign w:val="bottom"/>
          </w:tcPr>
          <w:p>
            <w:pPr>
              <w:spacing w:after="0"/>
              <w:rPr>
                <w:sz w:val="21"/>
                <w:szCs w:val="21"/>
                <w:color w:val="auto"/>
              </w:rPr>
            </w:pPr>
          </w:p>
        </w:tc>
        <w:tc>
          <w:tcPr>
            <w:tcW w:w="1460" w:type="dxa"/>
            <w:vAlign w:val="bottom"/>
            <w:gridSpan w:val="3"/>
          </w:tcPr>
          <w:p>
            <w:pPr>
              <w:jc w:val="right"/>
              <w:ind w:right="300"/>
              <w:spacing w:after="0" w:line="243" w:lineRule="exact"/>
              <w:rPr>
                <w:sz w:val="20"/>
                <w:szCs w:val="20"/>
                <w:color w:val="auto"/>
              </w:rPr>
            </w:pPr>
            <w:r>
              <w:rPr>
                <w:rFonts w:ascii="Arial" w:cs="Arial" w:eastAsia="Arial" w:hAnsi="Arial"/>
                <w:sz w:val="22"/>
                <w:szCs w:val="22"/>
                <w:b w:val="1"/>
                <w:bCs w:val="1"/>
                <w:color w:val="auto"/>
                <w:w w:val="94"/>
              </w:rPr>
              <w:t>October 31,</w:t>
            </w:r>
          </w:p>
        </w:tc>
        <w:tc>
          <w:tcPr>
            <w:tcW w:w="220" w:type="dxa"/>
            <w:vAlign w:val="bottom"/>
          </w:tcPr>
          <w:p>
            <w:pPr>
              <w:spacing w:after="0"/>
              <w:rPr>
                <w:sz w:val="21"/>
                <w:szCs w:val="21"/>
                <w:color w:val="auto"/>
              </w:rPr>
            </w:pPr>
          </w:p>
        </w:tc>
        <w:tc>
          <w:tcPr>
            <w:tcW w:w="1360" w:type="dxa"/>
            <w:vAlign w:val="bottom"/>
            <w:gridSpan w:val="3"/>
          </w:tcPr>
          <w:p>
            <w:pPr>
              <w:ind w:left="80"/>
              <w:spacing w:after="0" w:line="243" w:lineRule="exact"/>
              <w:rPr>
                <w:sz w:val="20"/>
                <w:szCs w:val="20"/>
                <w:color w:val="auto"/>
              </w:rPr>
            </w:pPr>
            <w:r>
              <w:rPr>
                <w:rFonts w:ascii="Arial" w:cs="Arial" w:eastAsia="Arial" w:hAnsi="Arial"/>
                <w:sz w:val="22"/>
                <w:szCs w:val="22"/>
                <w:b w:val="1"/>
                <w:bCs w:val="1"/>
                <w:color w:val="auto"/>
              </w:rPr>
              <w:t>January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2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b w:val="1"/>
                <w:bCs w:val="1"/>
                <w:color w:val="auto"/>
              </w:rPr>
              <w:t>2019</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b w:val="1"/>
                <w:bCs w:val="1"/>
                <w:color w:val="auto"/>
              </w:rPr>
              <w:t>2019</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(1)</w:t>
            </w:r>
          </w:p>
        </w:tc>
        <w:tc>
          <w:tcPr>
            <w:tcW w:w="1380" w:type="dxa"/>
            <w:vAlign w:val="bottom"/>
            <w:gridSpan w:val="2"/>
            <w:shd w:val="clear" w:color="auto" w:fill="E5FFFF"/>
          </w:tcPr>
          <w:p>
            <w:pPr>
              <w:jc w:val="right"/>
              <w:ind w:right="57"/>
              <w:spacing w:after="0" w:line="243" w:lineRule="exact"/>
              <w:rPr>
                <w:sz w:val="20"/>
                <w:szCs w:val="20"/>
                <w:color w:val="auto"/>
              </w:rPr>
            </w:pPr>
            <w:r>
              <w:rPr>
                <w:rFonts w:ascii="Arial" w:cs="Arial" w:eastAsia="Arial" w:hAnsi="Arial"/>
                <w:sz w:val="22"/>
                <w:szCs w:val="22"/>
                <w:color w:val="auto"/>
              </w:rPr>
              <w:t>$</w:t>
            </w:r>
          </w:p>
        </w:tc>
        <w:tc>
          <w:tcPr>
            <w:tcW w:w="1240" w:type="dxa"/>
            <w:vAlign w:val="bottom"/>
            <w:gridSpan w:val="2"/>
            <w:shd w:val="clear" w:color="auto" w:fill="E5FFFF"/>
          </w:tcPr>
          <w:p>
            <w:pPr>
              <w:ind w:left="680"/>
              <w:spacing w:after="0" w:line="243" w:lineRule="exact"/>
              <w:rPr>
                <w:sz w:val="20"/>
                <w:szCs w:val="20"/>
                <w:color w:val="auto"/>
              </w:rPr>
            </w:pPr>
            <w:r>
              <w:rPr>
                <w:rFonts w:ascii="Arial" w:cs="Arial" w:eastAsia="Arial" w:hAnsi="Arial"/>
                <w:sz w:val="22"/>
                <w:szCs w:val="22"/>
                <w:color w:val="auto"/>
              </w:rPr>
              <w:t>150</w:t>
            </w:r>
          </w:p>
        </w:tc>
        <w:tc>
          <w:tcPr>
            <w:tcW w:w="1180" w:type="dxa"/>
            <w:vAlign w:val="bottom"/>
            <w:gridSpan w:val="2"/>
            <w:shd w:val="clear" w:color="auto" w:fill="E5FFFF"/>
          </w:tcPr>
          <w:p>
            <w:pPr>
              <w:jc w:val="right"/>
              <w:ind w:right="737"/>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44</w:t>
            </w:r>
          </w:p>
        </w:tc>
        <w:tc>
          <w:tcPr>
            <w:tcW w:w="700" w:type="dxa"/>
            <w:vAlign w:val="bottom"/>
            <w:gridSpan w:val="2"/>
            <w:shd w:val="clear" w:color="auto" w:fill="E5FFFF"/>
          </w:tcPr>
          <w:p>
            <w:pPr>
              <w:jc w:val="right"/>
              <w:ind w:right="57"/>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165</w:t>
            </w:r>
          </w:p>
        </w:tc>
        <w:tc>
          <w:tcPr>
            <w:tcW w:w="1160" w:type="dxa"/>
            <w:vAlign w:val="bottom"/>
            <w:gridSpan w:val="2"/>
            <w:shd w:val="clear" w:color="auto" w:fill="E5FFFF"/>
          </w:tcPr>
          <w:p>
            <w:pPr>
              <w:jc w:val="right"/>
              <w:ind w:right="712"/>
              <w:spacing w:after="0" w:line="243" w:lineRule="exact"/>
              <w:rPr>
                <w:sz w:val="20"/>
                <w:szCs w:val="20"/>
                <w:color w:val="auto"/>
              </w:rPr>
            </w:pPr>
            <w:r>
              <w:rPr>
                <w:rFonts w:ascii="Arial" w:cs="Arial" w:eastAsia="Arial" w:hAnsi="Arial"/>
                <w:sz w:val="22"/>
                <w:szCs w:val="22"/>
                <w:color w:val="auto"/>
              </w:rPr>
              <w:t>$</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spacing w:after="0" w:line="243" w:lineRule="exact"/>
              <w:rPr>
                <w:sz w:val="20"/>
                <w:szCs w:val="20"/>
                <w:color w:val="auto"/>
              </w:rPr>
            </w:pPr>
            <w:r>
              <w:rPr>
                <w:rFonts w:ascii="Arial" w:cs="Arial" w:eastAsia="Arial" w:hAnsi="Arial"/>
                <w:sz w:val="22"/>
                <w:szCs w:val="22"/>
                <w:color w:val="auto"/>
              </w:rPr>
              <w:t>Forward purchase contracts (2)</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100</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112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57"/>
              <w:spacing w:after="0"/>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shd w:val="clear" w:color="auto" w:fill="E5FFFF"/>
          </w:tcPr>
          <w:p>
            <w:pPr>
              <w:ind w:left="680"/>
              <w:spacing w:after="0" w:line="237" w:lineRule="exact"/>
              <w:rPr>
                <w:sz w:val="20"/>
                <w:szCs w:val="20"/>
                <w:color w:val="auto"/>
              </w:rPr>
            </w:pPr>
            <w:r>
              <w:rPr>
                <w:rFonts w:ascii="Arial" w:cs="Arial" w:eastAsia="Arial" w:hAnsi="Arial"/>
                <w:sz w:val="22"/>
                <w:szCs w:val="22"/>
                <w:color w:val="auto"/>
                <w:w w:val="81"/>
              </w:rPr>
              <w:t>250</w:t>
            </w:r>
          </w:p>
        </w:tc>
        <w:tc>
          <w:tcPr>
            <w:tcW w:w="240" w:type="dxa"/>
            <w:vAlign w:val="bottom"/>
            <w:tcBorders>
              <w:top w:val="single" w:sz="8" w:color="E5FFFF"/>
              <w:bottom w:val="single" w:sz="8" w:color="E5FFFF"/>
            </w:tcBorders>
            <w:shd w:val="clear" w:color="auto" w:fill="E5FFFF"/>
          </w:tcPr>
          <w:p>
            <w:pPr>
              <w:spacing w:after="0"/>
              <w:rPr>
                <w:sz w:val="20"/>
                <w:szCs w:val="20"/>
                <w:color w:val="auto"/>
              </w:rPr>
            </w:pPr>
          </w:p>
        </w:tc>
        <w:tc>
          <w:tcPr>
            <w:tcW w:w="240" w:type="dxa"/>
            <w:vAlign w:val="bottom"/>
            <w:tcBorders>
              <w:top w:val="single" w:sz="8" w:color="E5FFFF"/>
              <w:bottom w:val="single" w:sz="8" w:color="E5FFFF"/>
            </w:tcBorders>
            <w:shd w:val="clear" w:color="auto" w:fill="E5FFFF"/>
          </w:tcPr>
          <w:p>
            <w:pPr>
              <w:spacing w:after="0"/>
              <w:rPr>
                <w:sz w:val="20"/>
                <w:szCs w:val="20"/>
                <w:color w:val="auto"/>
              </w:rPr>
            </w:pPr>
          </w:p>
        </w:tc>
        <w:tc>
          <w:tcPr>
            <w:tcW w:w="940" w:type="dxa"/>
            <w:vAlign w:val="bottom"/>
            <w:tcBorders>
              <w:top w:val="single" w:sz="8" w:color="auto"/>
              <w:bottom w:val="single" w:sz="8" w:color="auto"/>
            </w:tcBorders>
            <w:shd w:val="clear" w:color="auto" w:fill="E5FFFF"/>
          </w:tcPr>
          <w:p>
            <w:pPr>
              <w:jc w:val="right"/>
              <w:ind w:right="737"/>
              <w:spacing w:after="0"/>
              <w:rPr>
                <w:sz w:val="20"/>
                <w:szCs w:val="20"/>
                <w:color w:val="auto"/>
              </w:rPr>
            </w:pPr>
            <w:r>
              <w:rPr>
                <w:rFonts w:ascii="Arial" w:cs="Arial" w:eastAsia="Arial" w:hAnsi="Arial"/>
                <w:sz w:val="19"/>
                <w:szCs w:val="19"/>
                <w:color w:val="auto"/>
                <w:w w:val="75"/>
              </w:rPr>
              <w:t>$</w:t>
            </w:r>
          </w:p>
        </w:tc>
        <w:tc>
          <w:tcPr>
            <w:tcW w:w="3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44</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60" w:type="dxa"/>
            <w:vAlign w:val="bottom"/>
            <w:tcBorders>
              <w:top w:val="single" w:sz="8" w:color="auto"/>
              <w:bottom w:val="single" w:sz="8" w:color="auto"/>
            </w:tcBorders>
            <w:shd w:val="clear" w:color="auto" w:fill="E5FFFF"/>
          </w:tcPr>
          <w:p>
            <w:pPr>
              <w:jc w:val="right"/>
              <w:ind w:right="57"/>
              <w:spacing w:after="0"/>
              <w:rPr>
                <w:sz w:val="20"/>
                <w:szCs w:val="20"/>
                <w:color w:val="auto"/>
              </w:rPr>
            </w:pPr>
            <w:r>
              <w:rPr>
                <w:rFonts w:ascii="Arial" w:cs="Arial" w:eastAsia="Arial" w:hAnsi="Arial"/>
                <w:sz w:val="19"/>
                <w:szCs w:val="19"/>
                <w:color w:val="auto"/>
                <w:w w:val="75"/>
              </w:rPr>
              <w:t>$</w:t>
            </w:r>
          </w:p>
        </w:tc>
        <w:tc>
          <w:tcPr>
            <w:tcW w:w="9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165</w:t>
            </w: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940" w:type="dxa"/>
            <w:vAlign w:val="bottom"/>
            <w:tcBorders>
              <w:top w:val="single" w:sz="8" w:color="auto"/>
              <w:bottom w:val="single" w:sz="8" w:color="auto"/>
            </w:tcBorders>
            <w:shd w:val="clear" w:color="auto" w:fill="E5FFFF"/>
          </w:tcPr>
          <w:p>
            <w:pPr>
              <w:jc w:val="right"/>
              <w:ind w:right="712"/>
              <w:spacing w:after="0" w:line="237" w:lineRule="exact"/>
              <w:rPr>
                <w:sz w:val="20"/>
                <w:szCs w:val="20"/>
                <w:color w:val="auto"/>
              </w:rPr>
            </w:pPr>
            <w:r>
              <w:rPr>
                <w:rFonts w:ascii="Arial" w:cs="Arial" w:eastAsia="Arial" w:hAnsi="Arial"/>
                <w:sz w:val="22"/>
                <w:szCs w:val="22"/>
                <w:color w:val="auto"/>
                <w:w w:val="81"/>
              </w:rPr>
              <w:t>$</w:t>
            </w:r>
          </w:p>
        </w:tc>
        <w:tc>
          <w:tcPr>
            <w:tcW w:w="3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22</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440" w:hanging="4"/>
        <w:spacing w:after="0" w:line="282" w:lineRule="auto"/>
        <w:tabs>
          <w:tab w:leader="none" w:pos="747" w:val="left"/>
        </w:tabs>
        <w:numPr>
          <w:ilvl w:val="0"/>
          <w:numId w:val="4"/>
        </w:numPr>
        <w:rPr>
          <w:rFonts w:ascii="Arial" w:cs="Arial" w:eastAsia="Arial" w:hAnsi="Arial"/>
          <w:sz w:val="19"/>
          <w:szCs w:val="19"/>
          <w:color w:val="auto"/>
        </w:rPr>
      </w:pPr>
      <w:r>
        <w:rPr>
          <w:rFonts w:ascii="Arial" w:cs="Arial" w:eastAsia="Arial" w:hAnsi="Arial"/>
          <w:sz w:val="19"/>
          <w:szCs w:val="19"/>
          <w:color w:val="auto"/>
        </w:rPr>
        <w:t>Commodity futures assets are included in prepaid expenses and other current assets. These contracts are short/sell positions for approximately 3.6 million bushels of corn, long/buy positions for approximately 2.7 million bushels of corn and short/sell positions for approximately 2.1 million gallons of ethanol at October 31, 2019. These contracts are short/sell positions for approximately 2.0 million bushels of corn at January 31, 2019. Commodity futures liabilities are included in accrued expenses and other current liabilities. These contracts are short/sell positions for approximately 2.6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22"/>
          <w:szCs w:val="22"/>
          <w:color w:val="auto"/>
        </w:rPr>
        <w:t>bushels of corn.</w:t>
      </w:r>
    </w:p>
    <w:p>
      <w:pPr>
        <w:spacing w:after="0" w:line="233" w:lineRule="exact"/>
        <w:rPr>
          <w:sz w:val="20"/>
          <w:szCs w:val="20"/>
          <w:color w:val="auto"/>
        </w:rPr>
      </w:pPr>
    </w:p>
    <w:p>
      <w:pPr>
        <w:jc w:val="both"/>
        <w:ind w:left="440" w:hanging="4"/>
        <w:spacing w:after="0" w:line="238" w:lineRule="auto"/>
        <w:tabs>
          <w:tab w:leader="none" w:pos="786"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Forward purchase contracts assets are included in prepaid expenses and other current assets. These contracts are for purchases of approximately 0.8 million bushels of corn at October 31, 2019. Forward purchase contracts liabilities are included in accrued expenses and other current liabilities. These contracts are for purchases of approximately 1.3 million bushels of corn at January 31, 2019.</w:t>
      </w:r>
    </w:p>
    <w:p>
      <w:pPr>
        <w:spacing w:after="0" w:line="212"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As of October 31, 2019, and January 31, 2019, all of the derivative financial instruments held by the Company were subject to enforceable master netting arrangements. The Company’s accounting policy is to offset positions and amounts owed or owing with the same counterparty. As of October 31, 2019, and January 31, 2019,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$523,000 and approximately $281,000 to secure the Company’s derivative position at October 31, 2019 and January 31, 2019,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Gains on the Company’s derivative financial instruments of approximately $248,000 and approximately $2,432,000 for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third quarter of fiscal years 2019 and 2018, respectively, were included in cost of sales on the Consolidated Condensed Statements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 Operations. Gains on the Company’s derivative financial instruments of approximately $1,478,000 and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$2,273,000 for the first nine months of fiscal years 2019 and 2018, respectively, were included in cost of sales on the Consolidated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Condensed Statements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Investments</w:t>
      </w:r>
    </w:p>
    <w:p>
      <w:pPr>
        <w:spacing w:after="0" w:line="239"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The following table summarizes the Company’s equity method investment at October 31, 2019 and January 31, 2019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160" w:type="dxa"/>
            <w:vAlign w:val="bottom"/>
            <w:gridSpan w:val="3"/>
          </w:tcPr>
          <w:p>
            <w:pPr>
              <w:ind w:left="1640"/>
              <w:spacing w:after="0"/>
              <w:rPr>
                <w:sz w:val="20"/>
                <w:szCs w:val="20"/>
                <w:color w:val="auto"/>
              </w:rPr>
            </w:pPr>
            <w:r>
              <w:rPr>
                <w:rFonts w:ascii="Arial" w:cs="Arial" w:eastAsia="Arial" w:hAnsi="Arial"/>
                <w:sz w:val="22"/>
                <w:szCs w:val="22"/>
                <w:b w:val="1"/>
                <w:bCs w:val="1"/>
                <w:color w:val="auto"/>
              </w:rPr>
              <w:t>Ownership</w:t>
            </w:r>
          </w:p>
        </w:tc>
        <w:tc>
          <w:tcPr>
            <w:tcW w:w="2420" w:type="dxa"/>
            <w:vAlign w:val="bottom"/>
            <w:gridSpan w:val="3"/>
          </w:tcPr>
          <w:p>
            <w:pPr>
              <w:jc w:val="right"/>
              <w:ind w:right="440"/>
              <w:spacing w:after="0"/>
              <w:rPr>
                <w:sz w:val="20"/>
                <w:szCs w:val="20"/>
                <w:color w:val="auto"/>
              </w:rPr>
            </w:pPr>
            <w:r>
              <w:rPr>
                <w:rFonts w:ascii="Arial" w:cs="Arial" w:eastAsia="Arial" w:hAnsi="Arial"/>
                <w:sz w:val="22"/>
                <w:szCs w:val="22"/>
                <w:b w:val="1"/>
                <w:bCs w:val="1"/>
                <w:color w:val="auto"/>
              </w:rPr>
              <w:t>Carrying Amount</w:t>
            </w:r>
          </w:p>
        </w:tc>
        <w:tc>
          <w:tcPr>
            <w:tcW w:w="2080" w:type="dxa"/>
            <w:vAlign w:val="bottom"/>
            <w:gridSpan w:val="2"/>
          </w:tcPr>
          <w:p>
            <w:pPr>
              <w:jc w:val="right"/>
              <w:spacing w:after="0"/>
              <w:rPr>
                <w:sz w:val="20"/>
                <w:szCs w:val="20"/>
                <w:color w:val="auto"/>
              </w:rPr>
            </w:pPr>
            <w:r>
              <w:rPr>
                <w:rFonts w:ascii="Arial" w:cs="Arial" w:eastAsia="Arial" w:hAnsi="Arial"/>
                <w:sz w:val="22"/>
                <w:szCs w:val="22"/>
                <w:b w:val="1"/>
                <w:bCs w:val="1"/>
                <w:color w:val="auto"/>
              </w:rPr>
              <w:t>Carrying Amount</w:t>
            </w:r>
          </w:p>
        </w:tc>
      </w:tr>
      <w:tr>
        <w:trPr>
          <w:trHeight w:val="257"/>
        </w:trPr>
        <w:tc>
          <w:tcPr>
            <w:tcW w:w="2520" w:type="dxa"/>
            <w:vAlign w:val="bottom"/>
            <w:gridSpan w:val="2"/>
          </w:tcPr>
          <w:p>
            <w:pPr>
              <w:spacing w:after="0"/>
              <w:rPr>
                <w:sz w:val="20"/>
                <w:szCs w:val="20"/>
                <w:color w:val="auto"/>
              </w:rPr>
            </w:pPr>
            <w:r>
              <w:rPr>
                <w:rFonts w:ascii="Arial" w:cs="Arial" w:eastAsia="Arial" w:hAnsi="Arial"/>
                <w:sz w:val="22"/>
                <w:szCs w:val="22"/>
                <w:b w:val="1"/>
                <w:bCs w:val="1"/>
                <w:color w:val="auto"/>
              </w:rPr>
              <w:t>Entity</w:t>
            </w:r>
          </w:p>
        </w:tc>
        <w:tc>
          <w:tcPr>
            <w:tcW w:w="3160" w:type="dxa"/>
            <w:vAlign w:val="bottom"/>
            <w:gridSpan w:val="3"/>
          </w:tcPr>
          <w:p>
            <w:pPr>
              <w:ind w:left="1640"/>
              <w:spacing w:after="0"/>
              <w:rPr>
                <w:sz w:val="20"/>
                <w:szCs w:val="20"/>
                <w:color w:val="auto"/>
              </w:rPr>
            </w:pPr>
            <w:r>
              <w:rPr>
                <w:rFonts w:ascii="Arial" w:cs="Arial" w:eastAsia="Arial" w:hAnsi="Arial"/>
                <w:sz w:val="22"/>
                <w:szCs w:val="22"/>
                <w:b w:val="1"/>
                <w:bCs w:val="1"/>
                <w:color w:val="auto"/>
              </w:rPr>
              <w:t>Percentage</w:t>
            </w:r>
          </w:p>
        </w:tc>
        <w:tc>
          <w:tcPr>
            <w:tcW w:w="340" w:type="dxa"/>
            <w:vAlign w:val="bottom"/>
          </w:tcPr>
          <w:p>
            <w:pPr>
              <w:spacing w:after="0"/>
              <w:rPr>
                <w:sz w:val="22"/>
                <w:szCs w:val="22"/>
                <w:color w:val="auto"/>
              </w:rPr>
            </w:pPr>
          </w:p>
        </w:tc>
        <w:tc>
          <w:tcPr>
            <w:tcW w:w="2080" w:type="dxa"/>
            <w:vAlign w:val="bottom"/>
            <w:gridSpan w:val="2"/>
          </w:tcPr>
          <w:p>
            <w:pPr>
              <w:jc w:val="right"/>
              <w:ind w:right="440"/>
              <w:spacing w:after="0"/>
              <w:rPr>
                <w:sz w:val="20"/>
                <w:szCs w:val="20"/>
                <w:color w:val="auto"/>
              </w:rPr>
            </w:pPr>
            <w:r>
              <w:rPr>
                <w:rFonts w:ascii="Arial" w:cs="Arial" w:eastAsia="Arial" w:hAnsi="Arial"/>
                <w:sz w:val="22"/>
                <w:szCs w:val="22"/>
                <w:b w:val="1"/>
                <w:bCs w:val="1"/>
                <w:color w:val="auto"/>
                <w:w w:val="91"/>
              </w:rPr>
              <w:t>October 31, 2019</w:t>
            </w:r>
          </w:p>
        </w:tc>
        <w:tc>
          <w:tcPr>
            <w:tcW w:w="4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2"/>
                <w:szCs w:val="22"/>
                <w:b w:val="1"/>
                <w:bCs w:val="1"/>
                <w:color w:val="auto"/>
                <w:w w:val="93"/>
              </w:rPr>
              <w:t>January 31, 2019</w:t>
            </w: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77"/>
        </w:trPr>
        <w:tc>
          <w:tcPr>
            <w:tcW w:w="252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3160" w:type="dxa"/>
            <w:vAlign w:val="bottom"/>
            <w:gridSpan w:val="3"/>
          </w:tcPr>
          <w:p>
            <w:pPr>
              <w:jc w:val="right"/>
              <w:ind w:right="320"/>
              <w:spacing w:after="0"/>
              <w:rPr>
                <w:sz w:val="20"/>
                <w:szCs w:val="20"/>
                <w:color w:val="auto"/>
              </w:rPr>
            </w:pPr>
            <w:r>
              <w:rPr>
                <w:rFonts w:ascii="Arial" w:cs="Arial" w:eastAsia="Arial" w:hAnsi="Arial"/>
                <w:sz w:val="22"/>
                <w:szCs w:val="22"/>
                <w:color w:val="auto"/>
              </w:rPr>
              <w:t>10.3%</w:t>
            </w:r>
          </w:p>
        </w:tc>
        <w:tc>
          <w:tcPr>
            <w:tcW w:w="2420" w:type="dxa"/>
            <w:vAlign w:val="bottom"/>
            <w:gridSpan w:val="3"/>
          </w:tcPr>
          <w:p>
            <w:pPr>
              <w:jc w:val="right"/>
              <w:ind w:right="440"/>
              <w:spacing w:after="0"/>
              <w:rPr>
                <w:sz w:val="20"/>
                <w:szCs w:val="20"/>
                <w:color w:val="auto"/>
              </w:rPr>
            </w:pPr>
            <w:r>
              <w:rPr>
                <w:rFonts w:ascii="Arial" w:cs="Arial" w:eastAsia="Arial" w:hAnsi="Arial"/>
                <w:sz w:val="22"/>
                <w:szCs w:val="22"/>
                <w:color w:val="auto"/>
              </w:rPr>
              <w:t>$31,422</w:t>
            </w:r>
          </w:p>
        </w:tc>
        <w:tc>
          <w:tcPr>
            <w:tcW w:w="2080" w:type="dxa"/>
            <w:vAlign w:val="bottom"/>
            <w:gridSpan w:val="2"/>
          </w:tcPr>
          <w:p>
            <w:pPr>
              <w:jc w:val="right"/>
              <w:spacing w:after="0"/>
              <w:rPr>
                <w:sz w:val="20"/>
                <w:szCs w:val="20"/>
                <w:color w:val="auto"/>
              </w:rPr>
            </w:pPr>
            <w:r>
              <w:rPr>
                <w:rFonts w:ascii="Arial" w:cs="Arial" w:eastAsia="Arial" w:hAnsi="Arial"/>
                <w:sz w:val="22"/>
                <w:szCs w:val="22"/>
                <w:color w:val="auto"/>
              </w:rPr>
              <w:t>$32,075</w:t>
            </w:r>
          </w:p>
        </w:tc>
      </w:tr>
    </w:tbl>
    <w:p>
      <w:pPr>
        <w:spacing w:after="0" w:line="212"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$11.4 million and approximately $12.0 million at October 31, 2019 and January 31, 2019, respectively. The Company received dividends from its equity method investee of approximately $1.0 million and approximately $3.0 million during the first nine months of fiscal years 2019 and 2018,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 w:name="page19"/>
    <w:bookmarkEnd w:id="18"/>
    <w:p>
      <w:pPr>
        <w:ind w:right="460" w:firstLine="648"/>
        <w:spacing w:after="0" w:line="251"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60" w:type="dxa"/>
            <w:vAlign w:val="bottom"/>
            <w:gridSpan w:val="7"/>
          </w:tcPr>
          <w:p>
            <w:pPr>
              <w:jc w:val="center"/>
              <w:ind w:right="420"/>
              <w:spacing w:after="0"/>
              <w:rPr>
                <w:sz w:val="20"/>
                <w:szCs w:val="20"/>
                <w:color w:val="auto"/>
              </w:rPr>
            </w:pPr>
            <w:r>
              <w:rPr>
                <w:rFonts w:ascii="Arial" w:cs="Arial" w:eastAsia="Arial" w:hAnsi="Arial"/>
                <w:sz w:val="22"/>
                <w:szCs w:val="22"/>
                <w:b w:val="1"/>
                <w:bCs w:val="1"/>
                <w:color w:val="auto"/>
                <w:w w:val="90"/>
              </w:rPr>
              <w:t>Three Months Ended</w:t>
            </w:r>
          </w:p>
        </w:tc>
        <w:tc>
          <w:tcPr>
            <w:tcW w:w="2140" w:type="dxa"/>
            <w:vAlign w:val="bottom"/>
            <w:gridSpan w:val="6"/>
          </w:tcPr>
          <w:p>
            <w:pPr>
              <w:jc w:val="center"/>
              <w:ind w:right="10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6"/>
          </w:tcPr>
          <w:p>
            <w:pPr>
              <w:jc w:val="center"/>
              <w:ind w:right="520"/>
              <w:spacing w:after="0" w:line="243" w:lineRule="exact"/>
              <w:rPr>
                <w:sz w:val="20"/>
                <w:szCs w:val="20"/>
                <w:color w:val="auto"/>
              </w:rPr>
            </w:pPr>
            <w:r>
              <w:rPr>
                <w:rFonts w:ascii="Arial" w:cs="Arial" w:eastAsia="Arial" w:hAnsi="Arial"/>
                <w:sz w:val="22"/>
                <w:szCs w:val="22"/>
                <w:b w:val="1"/>
                <w:bCs w:val="1"/>
                <w:color w:val="auto"/>
                <w:w w:val="89"/>
              </w:rPr>
              <w:t>October 31,</w:t>
            </w:r>
          </w:p>
        </w:tc>
        <w:tc>
          <w:tcPr>
            <w:tcW w:w="100" w:type="dxa"/>
            <w:vAlign w:val="bottom"/>
          </w:tcPr>
          <w:p>
            <w:pPr>
              <w:spacing w:after="0"/>
              <w:rPr>
                <w:sz w:val="21"/>
                <w:szCs w:val="21"/>
                <w:color w:val="auto"/>
              </w:rPr>
            </w:pPr>
          </w:p>
        </w:tc>
        <w:tc>
          <w:tcPr>
            <w:tcW w:w="2040" w:type="dxa"/>
            <w:vAlign w:val="bottom"/>
            <w:gridSpan w:val="5"/>
          </w:tcPr>
          <w:p>
            <w:pPr>
              <w:jc w:val="center"/>
              <w:ind w:right="200"/>
              <w:spacing w:after="0" w:line="243" w:lineRule="exact"/>
              <w:rPr>
                <w:sz w:val="20"/>
                <w:szCs w:val="20"/>
                <w:color w:val="auto"/>
              </w:rPr>
            </w:pPr>
            <w:r>
              <w:rPr>
                <w:rFonts w:ascii="Arial" w:cs="Arial" w:eastAsia="Arial" w:hAnsi="Arial"/>
                <w:sz w:val="22"/>
                <w:szCs w:val="22"/>
                <w:b w:val="1"/>
                <w:bCs w:val="1"/>
                <w:color w:val="auto"/>
                <w:w w:val="89"/>
              </w:rPr>
              <w:t>October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b w:val="1"/>
                <w:bCs w:val="1"/>
                <w:color w:val="auto"/>
              </w:rPr>
              <w:t>2019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22"/>
                <w:szCs w:val="22"/>
                <w:b w:val="1"/>
                <w:bCs w:val="1"/>
                <w:color w:val="auto"/>
              </w:rPr>
              <w:t>2018</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2019</w:t>
            </w:r>
          </w:p>
        </w:tc>
        <w:tc>
          <w:tcPr>
            <w:tcW w:w="12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b w:val="1"/>
                <w:bCs w:val="1"/>
                <w:color w:val="auto"/>
                <w:w w:val="98"/>
              </w:rPr>
              <w:t>2018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w w:val="87"/>
              </w:rPr>
              <w:t>220,387</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w w:val="85"/>
              </w:rPr>
              <w:t>196,169</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w w:val="85"/>
              </w:rPr>
              <w:t>598,187</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5"/>
              </w:rPr>
              <w:t>600,204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Pr>
          <w:p>
            <w:pPr>
              <w:spacing w:after="0" w:line="243" w:lineRule="exact"/>
              <w:rPr>
                <w:sz w:val="20"/>
                <w:szCs w:val="20"/>
                <w:color w:val="auto"/>
              </w:rPr>
            </w:pPr>
            <w:r>
              <w:rPr>
                <w:rFonts w:ascii="Arial" w:cs="Arial" w:eastAsia="Arial" w:hAnsi="Arial"/>
                <w:sz w:val="22"/>
                <w:szCs w:val="22"/>
                <w:color w:val="auto"/>
              </w:rPr>
              <w:t>Gross profit</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10,269</w:t>
            </w:r>
          </w:p>
        </w:tc>
        <w:tc>
          <w:tcPr>
            <w:tcW w:w="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15,150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18,864</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39,489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from continuing operations</w:t>
            </w:r>
          </w:p>
        </w:tc>
        <w:tc>
          <w:tcPr>
            <w:tcW w:w="1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(149)</w:t>
            </w:r>
          </w:p>
        </w:tc>
        <w:tc>
          <w:tcPr>
            <w:tcW w:w="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5,932</w:t>
            </w: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3,397</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21,164</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Net (loss) income</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(149)</w:t>
            </w:r>
          </w:p>
        </w:tc>
        <w:tc>
          <w:tcPr>
            <w:tcW w:w="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22"/>
                <w:szCs w:val="22"/>
                <w:color w:val="auto"/>
              </w:rPr>
              <w:t>5,932</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420"/>
              <w:spacing w:after="0"/>
              <w:rPr>
                <w:sz w:val="20"/>
                <w:szCs w:val="20"/>
                <w:color w:val="auto"/>
              </w:rPr>
            </w:pPr>
            <w:r>
              <w:rPr>
                <w:rFonts w:ascii="Arial" w:cs="Arial" w:eastAsia="Arial" w:hAnsi="Arial"/>
                <w:sz w:val="22"/>
                <w:szCs w:val="22"/>
                <w:color w:val="auto"/>
              </w:rPr>
              <w:t>3,397</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21,164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held-to-maturity security at January 31, 2019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22"/>
                <w:szCs w:val="22"/>
                <w:b w:val="1"/>
                <w:bCs w:val="1"/>
                <w:color w:val="auto"/>
                <w:w w:val="98"/>
              </w:rPr>
              <w:t>Amortized</w:t>
            </w:r>
          </w:p>
        </w:tc>
        <w:tc>
          <w:tcPr>
            <w:tcW w:w="2100" w:type="dxa"/>
            <w:vAlign w:val="bottom"/>
            <w:gridSpan w:val="2"/>
          </w:tcPr>
          <w:p>
            <w:pPr>
              <w:jc w:val="right"/>
              <w:ind w:right="500"/>
              <w:spacing w:after="0"/>
              <w:rPr>
                <w:sz w:val="20"/>
                <w:szCs w:val="20"/>
                <w:color w:val="auto"/>
              </w:rPr>
            </w:pPr>
            <w:r>
              <w:rPr>
                <w:rFonts w:ascii="Arial" w:cs="Arial" w:eastAsia="Arial" w:hAnsi="Arial"/>
                <w:sz w:val="22"/>
                <w:szCs w:val="22"/>
                <w:b w:val="1"/>
                <w:bCs w:val="1"/>
                <w:color w:val="auto"/>
                <w:w w:val="87"/>
              </w:rPr>
              <w:t>Gross Unrealized</w:t>
            </w:r>
          </w:p>
        </w:tc>
        <w:tc>
          <w:tcPr>
            <w:tcW w:w="1420" w:type="dxa"/>
            <w:vAlign w:val="bottom"/>
          </w:tcPr>
          <w:p>
            <w:pPr>
              <w:jc w:val="right"/>
              <w:spacing w:after="0"/>
              <w:rPr>
                <w:sz w:val="20"/>
                <w:szCs w:val="20"/>
                <w:color w:val="auto"/>
              </w:rPr>
            </w:pPr>
            <w:r>
              <w:rPr>
                <w:rFonts w:ascii="Arial" w:cs="Arial" w:eastAsia="Arial" w:hAnsi="Arial"/>
                <w:sz w:val="22"/>
                <w:szCs w:val="22"/>
                <w:b w:val="1"/>
                <w:bCs w:val="1"/>
                <w:color w:val="auto"/>
              </w:rPr>
              <w:t>Estimated</w:t>
            </w:r>
          </w:p>
        </w:tc>
        <w:tc>
          <w:tcPr>
            <w:tcW w:w="0" w:type="dxa"/>
            <w:vAlign w:val="bottom"/>
          </w:tcPr>
          <w:p>
            <w:pPr>
              <w:spacing w:after="0"/>
              <w:rPr>
                <w:sz w:val="1"/>
                <w:szCs w:val="1"/>
                <w:color w:val="auto"/>
              </w:rPr>
            </w:pPr>
          </w:p>
        </w:tc>
      </w:tr>
      <w:tr>
        <w:trPr>
          <w:trHeight w:val="271"/>
        </w:trPr>
        <w:tc>
          <w:tcPr>
            <w:tcW w:w="3960" w:type="dxa"/>
            <w:vAlign w:val="bottom"/>
            <w:vMerge w:val="restart"/>
          </w:tcPr>
          <w:p>
            <w:pPr>
              <w:spacing w:after="0"/>
              <w:rPr>
                <w:sz w:val="20"/>
                <w:szCs w:val="20"/>
                <w:color w:val="auto"/>
              </w:rPr>
            </w:pPr>
            <w:r>
              <w:rPr>
                <w:rFonts w:ascii="Arial" w:cs="Arial" w:eastAsia="Arial" w:hAnsi="Arial"/>
                <w:sz w:val="22"/>
                <w:szCs w:val="22"/>
                <w:color w:val="auto"/>
              </w:rPr>
              <w:t>United States Treasury Bill</w:t>
            </w:r>
          </w:p>
        </w:tc>
        <w:tc>
          <w:tcPr>
            <w:tcW w:w="1580" w:type="dxa"/>
            <w:vAlign w:val="bottom"/>
            <w:gridSpan w:val="2"/>
          </w:tcPr>
          <w:p>
            <w:pPr>
              <w:jc w:val="right"/>
              <w:ind w:right="500"/>
              <w:spacing w:after="0"/>
              <w:rPr>
                <w:sz w:val="20"/>
                <w:szCs w:val="20"/>
                <w:color w:val="auto"/>
              </w:rPr>
            </w:pPr>
            <w:r>
              <w:rPr>
                <w:rFonts w:ascii="Arial" w:cs="Arial" w:eastAsia="Arial" w:hAnsi="Arial"/>
                <w:sz w:val="22"/>
                <w:szCs w:val="22"/>
                <w:b w:val="1"/>
                <w:bCs w:val="1"/>
                <w:color w:val="auto"/>
              </w:rPr>
              <w:t>Cost</w:t>
            </w:r>
          </w:p>
        </w:tc>
        <w:tc>
          <w:tcPr>
            <w:tcW w:w="2100" w:type="dxa"/>
            <w:vAlign w:val="bottom"/>
            <w:gridSpan w:val="2"/>
          </w:tcPr>
          <w:p>
            <w:pPr>
              <w:jc w:val="right"/>
              <w:ind w:right="500"/>
              <w:spacing w:after="0"/>
              <w:rPr>
                <w:sz w:val="20"/>
                <w:szCs w:val="20"/>
                <w:color w:val="auto"/>
              </w:rPr>
            </w:pPr>
            <w:r>
              <w:rPr>
                <w:rFonts w:ascii="Arial" w:cs="Arial" w:eastAsia="Arial" w:hAnsi="Arial"/>
                <w:sz w:val="22"/>
                <w:szCs w:val="22"/>
                <w:b w:val="1"/>
                <w:bCs w:val="1"/>
                <w:color w:val="auto"/>
              </w:rPr>
              <w:t>Losses</w:t>
            </w:r>
          </w:p>
        </w:tc>
        <w:tc>
          <w:tcPr>
            <w:tcW w:w="1420" w:type="dxa"/>
            <w:vAlign w:val="bottom"/>
          </w:tcPr>
          <w:p>
            <w:pPr>
              <w:jc w:val="right"/>
              <w:spacing w:after="0"/>
              <w:rPr>
                <w:sz w:val="20"/>
                <w:szCs w:val="20"/>
                <w:color w:val="auto"/>
              </w:rPr>
            </w:pPr>
            <w:r>
              <w:rPr>
                <w:rFonts w:ascii="Arial" w:cs="Arial" w:eastAsia="Arial" w:hAnsi="Arial"/>
                <w:sz w:val="22"/>
                <w:szCs w:val="22"/>
                <w:b w:val="1"/>
                <w:bCs w:val="1"/>
                <w:color w:val="auto"/>
              </w:rPr>
              <w:t>Fair Value</w:t>
            </w:r>
          </w:p>
        </w:tc>
        <w:tc>
          <w:tcPr>
            <w:tcW w:w="0" w:type="dxa"/>
            <w:vAlign w:val="bottom"/>
          </w:tcPr>
          <w:p>
            <w:pPr>
              <w:spacing w:after="0"/>
              <w:rPr>
                <w:sz w:val="1"/>
                <w:szCs w:val="1"/>
                <w:color w:val="auto"/>
              </w:rPr>
            </w:pPr>
          </w:p>
        </w:tc>
      </w:tr>
      <w:tr>
        <w:trPr>
          <w:trHeight w:val="268"/>
        </w:trPr>
        <w:tc>
          <w:tcPr>
            <w:tcW w:w="3960" w:type="dxa"/>
            <w:vAlign w:val="bottom"/>
            <w:vMerge w:val="continue"/>
          </w:tcPr>
          <w:p>
            <w:pPr>
              <w:spacing w:after="0"/>
              <w:rPr>
                <w:sz w:val="23"/>
                <w:szCs w:val="2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$14,975</w:t>
            </w:r>
          </w:p>
        </w:tc>
        <w:tc>
          <w:tcPr>
            <w:tcW w:w="500" w:type="dxa"/>
            <w:vAlign w:val="bottom"/>
          </w:tcPr>
          <w:p>
            <w:pPr>
              <w:spacing w:after="0"/>
              <w:rPr>
                <w:sz w:val="23"/>
                <w:szCs w:val="23"/>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500" w:type="dxa"/>
            <w:vAlign w:val="bottom"/>
          </w:tcPr>
          <w:p>
            <w:pPr>
              <w:spacing w:after="0"/>
              <w:rPr>
                <w:sz w:val="23"/>
                <w:szCs w:val="2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$14,973</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January 31, 2019, the contractual maturity of this investment was less than one year and the yield to maturity rate was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2.29%.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October 31, 2019, 479,988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 grant date. The</w:t>
      </w:r>
    </w:p>
    <w:p>
      <w:pPr>
        <w:spacing w:after="0" w:line="5" w:lineRule="exact"/>
        <w:rPr>
          <w:sz w:val="20"/>
          <w:szCs w:val="20"/>
          <w:color w:val="auto"/>
        </w:rPr>
      </w:pPr>
    </w:p>
    <w:p>
      <w:pPr>
        <w:jc w:val="both"/>
        <w:ind w:right="20"/>
        <w:spacing w:after="0" w:line="204" w:lineRule="auto"/>
        <w:rPr>
          <w:sz w:val="20"/>
          <w:szCs w:val="20"/>
          <w:color w:val="auto"/>
        </w:rPr>
      </w:pPr>
      <w:r>
        <w:rPr>
          <w:rFonts w:ascii="Arial" w:cs="Arial" w:eastAsia="Arial" w:hAnsi="Arial"/>
          <w:sz w:val="21"/>
          <w:szCs w:val="21"/>
          <w:color w:val="auto"/>
        </w:rPr>
        <w:t>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1"/>
          <w:szCs w:val="21"/>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is not a business day, for all grants of restricted stock.</w:t>
      </w:r>
    </w:p>
    <w:p>
      <w:pPr>
        <w:spacing w:after="0" w:line="21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At October 31, 2019 and January 31, 2019, unrecognized compensation cost related to nonvested restricted stock was approximately $259,000 and $200,000, respectively. The following tables summarize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2"/>
          <w:szCs w:val="22"/>
          <w:color w:val="auto"/>
        </w:rPr>
        <w:t>non-vested restricted stock award activity for the periods presented:</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920" w:type="dxa"/>
            <w:vAlign w:val="bottom"/>
            <w:gridSpan w:val="8"/>
          </w:tcPr>
          <w:p>
            <w:pPr>
              <w:jc w:val="right"/>
              <w:ind w:right="1260"/>
              <w:spacing w:after="0"/>
              <w:rPr>
                <w:sz w:val="20"/>
                <w:szCs w:val="20"/>
                <w:color w:val="auto"/>
              </w:rPr>
            </w:pPr>
            <w:r>
              <w:rPr>
                <w:rFonts w:ascii="Arial" w:cs="Arial" w:eastAsia="Arial" w:hAnsi="Arial"/>
                <w:sz w:val="22"/>
                <w:szCs w:val="22"/>
                <w:b w:val="1"/>
                <w:bCs w:val="1"/>
                <w:color w:val="auto"/>
              </w:rPr>
              <w:t>Nine Months Ended October 31, 2019</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8"/>
              </w:rPr>
              <w:t>Weighted</w:t>
            </w:r>
          </w:p>
        </w:tc>
        <w:tc>
          <w:tcPr>
            <w:tcW w:w="3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9"/>
              </w:rPr>
              <w:t>Average Grant</w:t>
            </w:r>
          </w:p>
        </w:tc>
        <w:tc>
          <w:tcPr>
            <w:tcW w:w="2200" w:type="dxa"/>
            <w:vAlign w:val="bottom"/>
            <w:gridSpan w:val="3"/>
          </w:tcPr>
          <w:p>
            <w:pPr>
              <w:jc w:val="center"/>
              <w:ind w:left="112"/>
              <w:spacing w:after="0" w:line="243" w:lineRule="exact"/>
              <w:rPr>
                <w:sz w:val="20"/>
                <w:szCs w:val="20"/>
                <w:color w:val="auto"/>
              </w:rPr>
            </w:pPr>
            <w:r>
              <w:rPr>
                <w:rFonts w:ascii="Arial" w:cs="Arial" w:eastAsia="Arial" w:hAnsi="Arial"/>
                <w:sz w:val="22"/>
                <w:szCs w:val="22"/>
                <w:b w:val="1"/>
                <w:bCs w:val="1"/>
                <w:color w:val="auto"/>
                <w:w w:val="88"/>
              </w:rPr>
              <w:t>Average Remaining</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Non-Vested</w:t>
            </w:r>
          </w:p>
        </w:tc>
        <w:tc>
          <w:tcPr>
            <w:tcW w:w="560" w:type="dxa"/>
            <w:vAlign w:val="bottom"/>
          </w:tcPr>
          <w:p>
            <w:pPr>
              <w:spacing w:after="0"/>
              <w:rPr>
                <w:sz w:val="21"/>
                <w:szCs w:val="21"/>
                <w:color w:val="auto"/>
              </w:rPr>
            </w:pPr>
          </w:p>
        </w:tc>
        <w:tc>
          <w:tcPr>
            <w:tcW w:w="1880" w:type="dxa"/>
            <w:vAlign w:val="bottom"/>
            <w:gridSpan w:val="3"/>
          </w:tcPr>
          <w:p>
            <w:pPr>
              <w:jc w:val="center"/>
              <w:ind w:right="280"/>
              <w:spacing w:after="0" w:line="243" w:lineRule="exact"/>
              <w:rPr>
                <w:sz w:val="20"/>
                <w:szCs w:val="20"/>
                <w:color w:val="auto"/>
              </w:rPr>
            </w:pPr>
            <w:r>
              <w:rPr>
                <w:rFonts w:ascii="Arial" w:cs="Arial" w:eastAsia="Arial" w:hAnsi="Arial"/>
                <w:sz w:val="22"/>
                <w:szCs w:val="22"/>
                <w:b w:val="1"/>
                <w:bCs w:val="1"/>
                <w:color w:val="auto"/>
                <w:w w:val="90"/>
              </w:rPr>
              <w:t>Date Fair Value</w:t>
            </w:r>
          </w:p>
        </w:tc>
        <w:tc>
          <w:tcPr>
            <w:tcW w:w="300" w:type="dxa"/>
            <w:vAlign w:val="bottom"/>
          </w:tcPr>
          <w:p>
            <w:pPr>
              <w:spacing w:after="0"/>
              <w:rPr>
                <w:sz w:val="21"/>
                <w:szCs w:val="21"/>
                <w:color w:val="auto"/>
              </w:rPr>
            </w:pPr>
          </w:p>
        </w:tc>
        <w:tc>
          <w:tcPr>
            <w:tcW w:w="190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7"/>
              </w:rPr>
              <w:t>VestingTerm</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7"/>
              </w:rPr>
              <w:t>Shares</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6"/>
              </w:rPr>
              <w:t>(000’s)</w:t>
            </w:r>
          </w:p>
        </w:tc>
        <w:tc>
          <w:tcPr>
            <w:tcW w:w="300" w:type="dxa"/>
            <w:vAlign w:val="bottom"/>
          </w:tcPr>
          <w:p>
            <w:pPr>
              <w:spacing w:after="0"/>
              <w:rPr>
                <w:sz w:val="23"/>
                <w:szCs w:val="23"/>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9"/>
              </w:rPr>
              <w:t>(in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2019</w:t>
            </w:r>
          </w:p>
        </w:tc>
        <w:tc>
          <w:tcPr>
            <w:tcW w:w="1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38,036</w:t>
            </w:r>
          </w:p>
        </w:tc>
        <w:tc>
          <w:tcPr>
            <w:tcW w:w="6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76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2,935</w:t>
            </w:r>
          </w:p>
        </w:tc>
        <w:tc>
          <w:tcPr>
            <w:tcW w:w="22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9,442</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662</w:t>
            </w: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76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line="243" w:lineRule="exact"/>
              <w:rPr>
                <w:sz w:val="20"/>
                <w:szCs w:val="20"/>
                <w:color w:val="auto"/>
              </w:rPr>
            </w:pPr>
            <w:r>
              <w:rPr>
                <w:rFonts w:ascii="Arial" w:cs="Arial" w:eastAsia="Arial" w:hAnsi="Arial"/>
                <w:sz w:val="22"/>
                <w:szCs w:val="22"/>
                <w:color w:val="auto"/>
              </w:rPr>
              <w:t>Vested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18,902</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1,404</w:t>
            </w: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tcBorders>
              <w:bottom w:val="single" w:sz="8" w:color="E5FFFF"/>
            </w:tcBorders>
            <w:shd w:val="clear" w:color="auto" w:fill="E5FFFF"/>
          </w:tcPr>
          <w:p>
            <w:pPr>
              <w:spacing w:after="0" w:line="243" w:lineRule="exact"/>
              <w:rPr>
                <w:sz w:val="20"/>
                <w:szCs w:val="20"/>
                <w:color w:val="auto"/>
              </w:rPr>
            </w:pPr>
            <w:r>
              <w:rPr>
                <w:rFonts w:ascii="Arial" w:cs="Arial" w:eastAsia="Arial" w:hAnsi="Arial"/>
                <w:sz w:val="22"/>
                <w:szCs w:val="22"/>
                <w:color w:val="auto"/>
              </w:rPr>
              <w:t>Non-Vested at October 31, 2019</w:t>
            </w:r>
          </w:p>
        </w:tc>
        <w:tc>
          <w:tcPr>
            <w:tcW w:w="1280" w:type="dxa"/>
            <w:vAlign w:val="bottom"/>
            <w:tcBorders>
              <w:bottom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28,576</w:t>
            </w:r>
          </w:p>
        </w:tc>
        <w:tc>
          <w:tcPr>
            <w:tcW w:w="56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480" w:type="dxa"/>
            <w:vAlign w:val="bottom"/>
            <w:tcBorders>
              <w:bottom w:val="single" w:sz="8" w:color="auto"/>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2,193</w:t>
            </w:r>
          </w:p>
        </w:tc>
        <w:tc>
          <w:tcPr>
            <w:tcW w:w="280" w:type="dxa"/>
            <w:vAlign w:val="bottom"/>
            <w:tcBorders>
              <w:bottom w:val="single" w:sz="8" w:color="E5FFFF"/>
            </w:tcBorders>
            <w:shd w:val="clear" w:color="auto" w:fill="E5FFFF"/>
          </w:tcPr>
          <w:p>
            <w:pPr>
              <w:spacing w:after="0"/>
              <w:rPr>
                <w:sz w:val="21"/>
                <w:szCs w:val="21"/>
                <w:color w:val="auto"/>
              </w:rPr>
            </w:pPr>
          </w:p>
        </w:tc>
        <w:tc>
          <w:tcPr>
            <w:tcW w:w="2200" w:type="dxa"/>
            <w:vAlign w:val="bottom"/>
            <w:tcBorders>
              <w:bottom w:val="single" w:sz="8" w:color="E5FFFF"/>
            </w:tcBorders>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920" w:type="dxa"/>
            <w:vAlign w:val="bottom"/>
            <w:gridSpan w:val="8"/>
          </w:tcPr>
          <w:p>
            <w:pPr>
              <w:jc w:val="right"/>
              <w:ind w:right="1260"/>
              <w:spacing w:after="0"/>
              <w:rPr>
                <w:sz w:val="20"/>
                <w:szCs w:val="20"/>
                <w:color w:val="auto"/>
              </w:rPr>
            </w:pPr>
            <w:r>
              <w:rPr>
                <w:rFonts w:ascii="Arial" w:cs="Arial" w:eastAsia="Arial" w:hAnsi="Arial"/>
                <w:sz w:val="22"/>
                <w:szCs w:val="22"/>
                <w:b w:val="1"/>
                <w:bCs w:val="1"/>
                <w:color w:val="auto"/>
              </w:rPr>
              <w:t>Nine Months Ended October 31, 2018</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8"/>
              </w:rPr>
              <w:t>Weighted</w:t>
            </w:r>
          </w:p>
        </w:tc>
        <w:tc>
          <w:tcPr>
            <w:tcW w:w="3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9"/>
              </w:rPr>
              <w:t>Average Grant</w:t>
            </w:r>
          </w:p>
        </w:tc>
        <w:tc>
          <w:tcPr>
            <w:tcW w:w="2200" w:type="dxa"/>
            <w:vAlign w:val="bottom"/>
            <w:gridSpan w:val="3"/>
          </w:tcPr>
          <w:p>
            <w:pPr>
              <w:jc w:val="center"/>
              <w:ind w:left="112"/>
              <w:spacing w:after="0" w:line="243" w:lineRule="exact"/>
              <w:rPr>
                <w:sz w:val="20"/>
                <w:szCs w:val="20"/>
                <w:color w:val="auto"/>
              </w:rPr>
            </w:pPr>
            <w:r>
              <w:rPr>
                <w:rFonts w:ascii="Arial" w:cs="Arial" w:eastAsia="Arial" w:hAnsi="Arial"/>
                <w:sz w:val="22"/>
                <w:szCs w:val="22"/>
                <w:b w:val="1"/>
                <w:bCs w:val="1"/>
                <w:color w:val="auto"/>
                <w:w w:val="88"/>
              </w:rPr>
              <w:t>Average Remaining</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Non-Vested</w:t>
            </w:r>
          </w:p>
        </w:tc>
        <w:tc>
          <w:tcPr>
            <w:tcW w:w="560" w:type="dxa"/>
            <w:vAlign w:val="bottom"/>
          </w:tcPr>
          <w:p>
            <w:pPr>
              <w:spacing w:after="0"/>
              <w:rPr>
                <w:sz w:val="21"/>
                <w:szCs w:val="21"/>
                <w:color w:val="auto"/>
              </w:rPr>
            </w:pPr>
          </w:p>
        </w:tc>
        <w:tc>
          <w:tcPr>
            <w:tcW w:w="1880" w:type="dxa"/>
            <w:vAlign w:val="bottom"/>
            <w:gridSpan w:val="3"/>
          </w:tcPr>
          <w:p>
            <w:pPr>
              <w:jc w:val="center"/>
              <w:ind w:right="280"/>
              <w:spacing w:after="0" w:line="243" w:lineRule="exact"/>
              <w:rPr>
                <w:sz w:val="20"/>
                <w:szCs w:val="20"/>
                <w:color w:val="auto"/>
              </w:rPr>
            </w:pPr>
            <w:r>
              <w:rPr>
                <w:rFonts w:ascii="Arial" w:cs="Arial" w:eastAsia="Arial" w:hAnsi="Arial"/>
                <w:sz w:val="22"/>
                <w:szCs w:val="22"/>
                <w:b w:val="1"/>
                <w:bCs w:val="1"/>
                <w:color w:val="auto"/>
                <w:w w:val="90"/>
              </w:rPr>
              <w:t>Date Fair Value</w:t>
            </w:r>
          </w:p>
        </w:tc>
        <w:tc>
          <w:tcPr>
            <w:tcW w:w="300" w:type="dxa"/>
            <w:vAlign w:val="bottom"/>
          </w:tcPr>
          <w:p>
            <w:pPr>
              <w:spacing w:after="0"/>
              <w:rPr>
                <w:sz w:val="21"/>
                <w:szCs w:val="21"/>
                <w:color w:val="auto"/>
              </w:rPr>
            </w:pPr>
          </w:p>
        </w:tc>
        <w:tc>
          <w:tcPr>
            <w:tcW w:w="190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7"/>
              </w:rPr>
              <w:t>VestingTerm</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7"/>
              </w:rPr>
              <w:t>Shares</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6"/>
              </w:rPr>
              <w:t>(000’s)</w:t>
            </w:r>
          </w:p>
        </w:tc>
        <w:tc>
          <w:tcPr>
            <w:tcW w:w="300" w:type="dxa"/>
            <w:vAlign w:val="bottom"/>
          </w:tcPr>
          <w:p>
            <w:pPr>
              <w:spacing w:after="0"/>
              <w:rPr>
                <w:sz w:val="23"/>
                <w:szCs w:val="23"/>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9"/>
              </w:rPr>
              <w:t>(in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2018</w:t>
            </w:r>
          </w:p>
        </w:tc>
        <w:tc>
          <w:tcPr>
            <w:tcW w:w="1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29,415</w:t>
            </w:r>
          </w:p>
        </w:tc>
        <w:tc>
          <w:tcPr>
            <w:tcW w:w="6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76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2,275</w:t>
            </w:r>
          </w:p>
        </w:tc>
        <w:tc>
          <w:tcPr>
            <w:tcW w:w="22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21,745</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1,622</w:t>
            </w: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76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spacing w:after="0" w:line="243" w:lineRule="exact"/>
              <w:rPr>
                <w:sz w:val="20"/>
                <w:szCs w:val="20"/>
                <w:color w:val="auto"/>
              </w:rPr>
            </w:pPr>
            <w:r>
              <w:rPr>
                <w:rFonts w:ascii="Arial" w:cs="Arial" w:eastAsia="Arial" w:hAnsi="Arial"/>
                <w:sz w:val="22"/>
                <w:szCs w:val="22"/>
                <w:color w:val="auto"/>
              </w:rPr>
              <w:t>Vested</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13,124</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963</w:t>
            </w: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October 31, 2018</w:t>
            </w:r>
          </w:p>
        </w:tc>
        <w:tc>
          <w:tcPr>
            <w:tcW w:w="12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38,036</w:t>
            </w:r>
          </w:p>
        </w:tc>
        <w:tc>
          <w:tcPr>
            <w:tcW w:w="6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76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2,934</w:t>
            </w:r>
          </w:p>
        </w:tc>
        <w:tc>
          <w:tcPr>
            <w:tcW w:w="220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E5FF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above tables include 24,219 and 34,148 non-vested shares at October 31, 2019 and 2018,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Historically, the Company recorded its interim tax provision or benefit for income taxes including the three and nine months ended October 31, 2018,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would not provide a reliable estimate for the three and nine months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 w:name="page21"/>
    <w:bookmarkEnd w:id="20"/>
    <w:p>
      <w:pPr>
        <w:ind w:right="580"/>
        <w:spacing w:after="0" w:line="251" w:lineRule="auto"/>
        <w:rPr>
          <w:sz w:val="20"/>
          <w:szCs w:val="20"/>
          <w:color w:val="auto"/>
        </w:rPr>
      </w:pPr>
      <w:r>
        <w:rPr>
          <w:rFonts w:ascii="Arial" w:cs="Arial" w:eastAsia="Arial" w:hAnsi="Arial"/>
          <w:sz w:val="22"/>
          <w:szCs w:val="22"/>
          <w:color w:val="auto"/>
        </w:rPr>
        <w:t>ended October 31, 2019. Thus, the Company used a discrete effective tax rate method to calculate the provision or benefit for income taxes for the three and nine months ended October 31, 2019.</w:t>
      </w:r>
    </w:p>
    <w:p>
      <w:pPr>
        <w:spacing w:after="0" w:line="200"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Company’s tax benefit was approximately 65.9% and approximately 266.7% for the three months ended October 31, 2019 and 2018, respectively. The Company’s tax benefit was approximately 234.7% and approximately 112.8% for the nine months ended October 31, 2019 and 2018, respectively. The fluctuation in the rate results primarily from the production tax credits the Company expects to receive associated with its refined coal segment relative to pre-tax income or loss. Through its refined coal operation, the Company earns production tax credits pursuant to IRC Section 45. The credits can be used to reduce future income tax liabilities for up to 20 years.</w:t>
      </w:r>
    </w:p>
    <w:p>
      <w:pPr>
        <w:spacing w:after="0" w:line="21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A reconciliation of the beginning and ending amount of unrecognized tax benefits, including interest and penalties, is as follows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22"/>
                <w:szCs w:val="22"/>
                <w:b w:val="1"/>
                <w:bCs w:val="1"/>
                <w:color w:val="auto"/>
                <w:w w:val="89"/>
              </w:rPr>
              <w:t>October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98"/>
              </w:rPr>
              <w:t>2019</w:t>
            </w: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89"/>
              </w:rPr>
              <w:t>2018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9,232</w:t>
            </w:r>
          </w:p>
        </w:tc>
        <w:tc>
          <w:tcPr>
            <w:tcW w:w="5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2,325</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12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4,666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120" w:type="dxa"/>
            <w:vAlign w:val="bottom"/>
            <w:tcBorders>
              <w:bottom w:val="single" w:sz="8" w:color="auto"/>
            </w:tcBorders>
            <w:shd w:val="clear" w:color="auto" w:fill="E5FFFF"/>
          </w:tcPr>
          <w:p>
            <w:pPr>
              <w:spacing w:after="0"/>
              <w:rPr>
                <w:sz w:val="22"/>
                <w:szCs w:val="22"/>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5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1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6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9,155</w:t>
            </w:r>
          </w:p>
        </w:tc>
        <w:tc>
          <w:tcPr>
            <w:tcW w:w="5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6,991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213" w:lineRule="exact"/>
        <w:rPr>
          <w:sz w:val="20"/>
          <w:szCs w:val="20"/>
          <w:color w:val="auto"/>
        </w:rPr>
      </w:pPr>
    </w:p>
    <w:p>
      <w:pPr>
        <w:ind w:right="720" w:firstLine="648"/>
        <w:spacing w:after="0" w:line="328" w:lineRule="auto"/>
        <w:rPr>
          <w:sz w:val="20"/>
          <w:szCs w:val="20"/>
          <w:color w:val="auto"/>
        </w:rPr>
      </w:pPr>
      <w:r>
        <w:rPr>
          <w:rFonts w:ascii="Arial" w:cs="Arial" w:eastAsia="Arial" w:hAnsi="Arial"/>
          <w:sz w:val="19"/>
          <w:szCs w:val="19"/>
          <w:color w:val="auto"/>
        </w:rPr>
        <w:t>One Earth and NuGen have combined forward purchase contracts for approximately 4.4 million bushels of corn, the principal raw material for their ethanol plants. They expect to take delivery of the grain through January 2020.</w:t>
      </w:r>
    </w:p>
    <w:p>
      <w:pPr>
        <w:spacing w:after="0" w:line="132" w:lineRule="exact"/>
        <w:rPr>
          <w:sz w:val="20"/>
          <w:szCs w:val="20"/>
          <w:color w:val="auto"/>
        </w:rPr>
      </w:pPr>
    </w:p>
    <w:p>
      <w:pPr>
        <w:ind w:right="460" w:firstLine="648"/>
        <w:spacing w:after="0" w:line="274" w:lineRule="auto"/>
        <w:rPr>
          <w:sz w:val="20"/>
          <w:szCs w:val="20"/>
          <w:color w:val="auto"/>
        </w:rPr>
      </w:pPr>
      <w:r>
        <w:rPr>
          <w:rFonts w:ascii="Arial" w:cs="Arial" w:eastAsia="Arial" w:hAnsi="Arial"/>
          <w:sz w:val="21"/>
          <w:szCs w:val="21"/>
          <w:color w:val="auto"/>
        </w:rPr>
        <w:t>One Earth and NuGen have combined forward purchase contracts for approximately 1,067,000 MmBtu (million british thermal units) of natural gas. They expect to take delivery of the natural gas through February 2020.</w:t>
      </w:r>
    </w:p>
    <w:p>
      <w:pPr>
        <w:spacing w:after="0" w:line="178"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One Earth and NuGen have combined sales commitments for approximately 18.9 million gallons of ethanol, approximately 48,500 tons of distillers grains and approximately 6.1 million pounds of non-food grade corn oil. They expect to deliver a majority of the ethanol, distillers grains and non-food grade corn oil through December 2019.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 w:name="page22"/>
    <w:bookmarkEnd w:id="21"/>
    <w:p>
      <w:pPr>
        <w:ind w:right="280" w:firstLine="648"/>
        <w:spacing w:after="0" w:line="287"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$0.9 million and approximately $2.6 million in the third quarter of fiscal year 2019 and 2018, respectively. Such fees totaled approximately $3.6 million and approximately $7.7 million for the nine months ended October 31, 2019 and 2018,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During the third quarters of fiscal years 2019 and 2018, One Earth and NuGen purchased approximately $58.5 million and approximately $47.3 million, respectively, of corn from minority equity investors and board members of those subsidiaries. Such purchases totaled approximately $148.7 million and approximately $138.6 million for the nine months ended October 31, 2019 and 2018, respectively. The Company had amounts payable to related parties for corn purchases of approximately $0.1 million and approximately $1.9 million at October 31, 2019 and January 31, 2019, respectively.</w:t>
      </w:r>
    </w:p>
    <w:p>
      <w:pPr>
        <w:spacing w:after="0" w:line="206"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One Earth terminated its agreement with its corn origination agent at the end of the third quarter of fiscal year 2019. In connection with this, the Company had amounts receivable from related parties of approximately $6.7 million at October 31, 2019.</w:t>
      </w:r>
    </w:p>
    <w:p>
      <w:pPr>
        <w:spacing w:after="0" w:line="13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During the third quarters of fiscal years 2019 and 2018, the Company recognized commission income of approximately $0.2 million and expense of approximately $0.4 million, respectively, payable to the minority investor in the refined coal entity. During the first nine months of fiscal years 2019 and 2018, the Company recognized commission income of approximately $0.6 million and expense of approximately $0.7 million, respectively. The commission income or expense is associated with the refined coal acquisition. The Company had accrued liabilities and accounts payable related to the commission income or expense of approximately $0.7 million and approximately $1.6 million at October 31, 2019 and January 31,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Segment Reporting</w:t>
      </w:r>
    </w:p>
    <w:p>
      <w:pPr>
        <w:spacing w:after="0" w:line="239" w:lineRule="exact"/>
        <w:rPr>
          <w:sz w:val="20"/>
          <w:szCs w:val="20"/>
          <w:color w:val="auto"/>
        </w:rPr>
      </w:pPr>
    </w:p>
    <w:p>
      <w:pPr>
        <w:jc w:val="both"/>
        <w:ind w:right="280" w:firstLine="648"/>
        <w:spacing w:after="0"/>
        <w:rPr>
          <w:sz w:val="20"/>
          <w:szCs w:val="20"/>
          <w:color w:val="auto"/>
        </w:rPr>
      </w:pPr>
      <w:r>
        <w:rPr>
          <w:rFonts w:ascii="Arial" w:cs="Arial" w:eastAsia="Arial" w:hAnsi="Arial"/>
          <w:sz w:val="22"/>
          <w:szCs w:val="22"/>
          <w:color w:val="auto"/>
        </w:rPr>
        <w:t>The Company has two reportable segments: i) ethanol and by-products; and ii) refined coal. The Company evaluates the performance of each reportable segment based on segment profit. The following tables summarize segment and other results and assets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00" w:type="dxa"/>
            <w:vAlign w:val="bottom"/>
            <w:gridSpan w:val="4"/>
          </w:tcPr>
          <w:p>
            <w:pPr>
              <w:jc w:val="center"/>
              <w:ind w:right="420"/>
              <w:spacing w:after="0"/>
              <w:rPr>
                <w:sz w:val="20"/>
                <w:szCs w:val="20"/>
                <w:color w:val="auto"/>
              </w:rPr>
            </w:pPr>
            <w:r>
              <w:rPr>
                <w:rFonts w:ascii="Arial" w:cs="Arial" w:eastAsia="Arial" w:hAnsi="Arial"/>
                <w:sz w:val="22"/>
                <w:szCs w:val="22"/>
                <w:b w:val="1"/>
                <w:bCs w:val="1"/>
                <w:color w:val="auto"/>
                <w:w w:val="90"/>
              </w:rPr>
              <w:t>Three Months Ended</w:t>
            </w:r>
          </w:p>
        </w:tc>
        <w:tc>
          <w:tcPr>
            <w:tcW w:w="2400" w:type="dxa"/>
            <w:vAlign w:val="bottom"/>
            <w:gridSpan w:val="6"/>
          </w:tcPr>
          <w:p>
            <w:pPr>
              <w:jc w:val="center"/>
              <w:ind w:right="100"/>
              <w:spacing w:after="0"/>
              <w:rPr>
                <w:sz w:val="20"/>
                <w:szCs w:val="20"/>
                <w:color w:val="auto"/>
              </w:rPr>
            </w:pPr>
            <w:r>
              <w:rPr>
                <w:rFonts w:ascii="Arial" w:cs="Arial" w:eastAsia="Arial" w:hAnsi="Arial"/>
                <w:sz w:val="22"/>
                <w:szCs w:val="22"/>
                <w:b w:val="1"/>
                <w:bCs w:val="1"/>
                <w:color w:val="auto"/>
                <w:w w:val="90"/>
              </w:rPr>
              <w:t>Nine Months Ended</w:t>
            </w:r>
          </w:p>
        </w:tc>
      </w:tr>
      <w:tr>
        <w:trPr>
          <w:trHeight w:val="257"/>
        </w:trPr>
        <w:tc>
          <w:tcPr>
            <w:tcW w:w="43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600" w:type="dxa"/>
            <w:vAlign w:val="bottom"/>
            <w:gridSpan w:val="4"/>
          </w:tcPr>
          <w:p>
            <w:pPr>
              <w:jc w:val="center"/>
              <w:ind w:right="420"/>
              <w:spacing w:after="0"/>
              <w:rPr>
                <w:sz w:val="20"/>
                <w:szCs w:val="20"/>
                <w:color w:val="auto"/>
              </w:rPr>
            </w:pPr>
            <w:r>
              <w:rPr>
                <w:rFonts w:ascii="Arial" w:cs="Arial" w:eastAsia="Arial" w:hAnsi="Arial"/>
                <w:sz w:val="22"/>
                <w:szCs w:val="22"/>
                <w:b w:val="1"/>
                <w:bCs w:val="1"/>
                <w:color w:val="auto"/>
                <w:w w:val="88"/>
              </w:rPr>
              <w:t>October 31</w:t>
            </w:r>
          </w:p>
        </w:tc>
        <w:tc>
          <w:tcPr>
            <w:tcW w:w="240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89"/>
              </w:rPr>
              <w:t>October 31,</w:t>
            </w:r>
          </w:p>
        </w:tc>
      </w:tr>
      <w:tr>
        <w:trPr>
          <w:trHeight w:val="271"/>
        </w:trPr>
        <w:tc>
          <w:tcPr>
            <w:tcW w:w="4380" w:type="dxa"/>
            <w:vAlign w:val="bottom"/>
          </w:tcPr>
          <w:p>
            <w:pPr>
              <w:spacing w:after="0"/>
              <w:rPr>
                <w:sz w:val="23"/>
                <w:szCs w:val="23"/>
                <w:color w:val="auto"/>
              </w:rPr>
            </w:pPr>
          </w:p>
        </w:tc>
        <w:tc>
          <w:tcPr>
            <w:tcW w:w="274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rPr>
              <w:t>2019</w:t>
            </w:r>
          </w:p>
        </w:tc>
        <w:tc>
          <w:tcPr>
            <w:tcW w:w="1480" w:type="dxa"/>
            <w:vAlign w:val="bottom"/>
            <w:gridSpan w:val="2"/>
          </w:tcPr>
          <w:p>
            <w:pPr>
              <w:jc w:val="right"/>
              <w:ind w:right="92"/>
              <w:spacing w:after="0"/>
              <w:rPr>
                <w:sz w:val="20"/>
                <w:szCs w:val="20"/>
                <w:color w:val="auto"/>
              </w:rPr>
            </w:pPr>
            <w:r>
              <w:rPr>
                <w:rFonts w:ascii="Arial" w:cs="Arial" w:eastAsia="Arial" w:hAnsi="Arial"/>
                <w:sz w:val="22"/>
                <w:szCs w:val="22"/>
                <w:b w:val="1"/>
                <w:bCs w:val="1"/>
                <w:color w:val="auto"/>
              </w:rPr>
              <w:t>2018</w:t>
            </w:r>
          </w:p>
        </w:tc>
        <w:tc>
          <w:tcPr>
            <w:tcW w:w="4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22"/>
                <w:szCs w:val="22"/>
                <w:b w:val="1"/>
                <w:bCs w:val="1"/>
                <w:color w:val="auto"/>
              </w:rPr>
              <w:t>2019</w:t>
            </w:r>
          </w:p>
        </w:tc>
        <w:tc>
          <w:tcPr>
            <w:tcW w:w="660" w:type="dxa"/>
            <w:vAlign w:val="bottom"/>
          </w:tcPr>
          <w:p>
            <w:pPr>
              <w:spacing w:after="0"/>
              <w:rPr>
                <w:sz w:val="23"/>
                <w:szCs w:val="23"/>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22"/>
                <w:szCs w:val="22"/>
                <w:b w:val="1"/>
                <w:bCs w:val="1"/>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438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2040" w:type="dxa"/>
            <w:vAlign w:val="bottom"/>
            <w:tcBorders>
              <w:top w:val="single" w:sz="8" w:color="E5FFFF"/>
            </w:tcBorders>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spacing w:after="0"/>
              <w:rPr>
                <w:sz w:val="20"/>
                <w:szCs w:val="20"/>
                <w:color w:val="auto"/>
              </w:rPr>
            </w:pPr>
          </w:p>
        </w:tc>
        <w:tc>
          <w:tcPr>
            <w:tcW w:w="66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spacing w:after="0"/>
              <w:rPr>
                <w:sz w:val="20"/>
                <w:szCs w:val="20"/>
                <w:color w:val="auto"/>
              </w:rPr>
            </w:pPr>
          </w:p>
        </w:tc>
        <w:tc>
          <w:tcPr>
            <w:tcW w:w="42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spacing w:after="0"/>
              <w:rPr>
                <w:sz w:val="20"/>
                <w:szCs w:val="20"/>
                <w:color w:val="auto"/>
              </w:rPr>
            </w:pPr>
          </w:p>
        </w:tc>
        <w:tc>
          <w:tcPr>
            <w:tcW w:w="66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r>
      <w:tr>
        <w:trPr>
          <w:trHeight w:val="243"/>
        </w:trPr>
        <w:tc>
          <w:tcPr>
            <w:tcW w:w="43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2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$86,603</w:t>
            </w:r>
          </w:p>
        </w:tc>
        <w:tc>
          <w:tcPr>
            <w:tcW w:w="1900" w:type="dxa"/>
            <w:vAlign w:val="bottom"/>
            <w:gridSpan w:val="3"/>
          </w:tcPr>
          <w:p>
            <w:pPr>
              <w:jc w:val="right"/>
              <w:ind w:right="420"/>
              <w:spacing w:after="0" w:line="243" w:lineRule="exact"/>
              <w:rPr>
                <w:sz w:val="20"/>
                <w:szCs w:val="20"/>
                <w:color w:val="auto"/>
              </w:rPr>
            </w:pPr>
            <w:r>
              <w:rPr>
                <w:rFonts w:ascii="Arial" w:cs="Arial" w:eastAsia="Arial" w:hAnsi="Arial"/>
                <w:sz w:val="22"/>
                <w:szCs w:val="22"/>
                <w:color w:val="auto"/>
              </w:rPr>
              <w:t>$123,546</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w w:val="87"/>
              </w:rPr>
              <w:t>$296,826</w:t>
            </w:r>
          </w:p>
        </w:tc>
        <w:tc>
          <w:tcPr>
            <w:tcW w:w="660" w:type="dxa"/>
            <w:vAlign w:val="bottom"/>
          </w:tcPr>
          <w:p>
            <w:pPr>
              <w:spacing w:after="0"/>
              <w:rPr>
                <w:sz w:val="21"/>
                <w:szCs w:val="21"/>
                <w:color w:val="auto"/>
              </w:rPr>
            </w:pPr>
          </w:p>
        </w:tc>
        <w:tc>
          <w:tcPr>
            <w:tcW w:w="84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87"/>
              </w:rPr>
              <w:t>$372,717</w:t>
            </w:r>
          </w:p>
        </w:tc>
        <w:tc>
          <w:tcPr>
            <w:tcW w:w="80" w:type="dxa"/>
            <w:vAlign w:val="bottom"/>
          </w:tcPr>
          <w:p>
            <w:pPr>
              <w:spacing w:after="0"/>
              <w:rPr>
                <w:sz w:val="21"/>
                <w:szCs w:val="21"/>
                <w:color w:val="auto"/>
              </w:rPr>
            </w:pPr>
          </w:p>
        </w:tc>
      </w:tr>
      <w:tr>
        <w:trPr>
          <w:trHeight w:val="311"/>
        </w:trPr>
        <w:tc>
          <w:tcPr>
            <w:tcW w:w="438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6"/>
                <w:szCs w:val="36"/>
                <w:color w:val="auto"/>
                <w:vertAlign w:val="superscript"/>
              </w:rPr>
              <w:t>1</w:t>
            </w:r>
          </w:p>
        </w:tc>
        <w:tc>
          <w:tcPr>
            <w:tcW w:w="27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68</w:t>
            </w:r>
          </w:p>
        </w:tc>
        <w:tc>
          <w:tcPr>
            <w:tcW w:w="1900" w:type="dxa"/>
            <w:vAlign w:val="bottom"/>
            <w:gridSpan w:val="3"/>
            <w:shd w:val="clear" w:color="auto" w:fill="E5FFFF"/>
          </w:tcPr>
          <w:p>
            <w:pPr>
              <w:jc w:val="right"/>
              <w:ind w:right="420"/>
              <w:spacing w:after="0"/>
              <w:rPr>
                <w:sz w:val="20"/>
                <w:szCs w:val="20"/>
                <w:color w:val="auto"/>
              </w:rPr>
            </w:pPr>
            <w:r>
              <w:rPr>
                <w:rFonts w:ascii="Arial" w:cs="Arial" w:eastAsia="Arial" w:hAnsi="Arial"/>
                <w:sz w:val="22"/>
                <w:szCs w:val="22"/>
                <w:color w:val="auto"/>
              </w:rPr>
              <w:t>204</w:t>
            </w: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288</w:t>
            </w:r>
          </w:p>
        </w:tc>
        <w:tc>
          <w:tcPr>
            <w:tcW w:w="660" w:type="dxa"/>
            <w:vAlign w:val="bottom"/>
            <w:shd w:val="clear" w:color="auto" w:fill="E5FFFF"/>
          </w:tcPr>
          <w:p>
            <w:pPr>
              <w:spacing w:after="0"/>
              <w:rPr>
                <w:sz w:val="24"/>
                <w:szCs w:val="24"/>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22"/>
                <w:szCs w:val="22"/>
                <w:color w:val="auto"/>
              </w:rPr>
              <w:t>610</w:t>
            </w:r>
          </w:p>
        </w:tc>
        <w:tc>
          <w:tcPr>
            <w:tcW w:w="80" w:type="dxa"/>
            <w:vAlign w:val="bottom"/>
            <w:shd w:val="clear" w:color="auto" w:fill="E5FFFF"/>
          </w:tcPr>
          <w:p>
            <w:pPr>
              <w:spacing w:after="0"/>
              <w:rPr>
                <w:sz w:val="24"/>
                <w:szCs w:val="24"/>
                <w:color w:val="auto"/>
              </w:rPr>
            </w:pPr>
          </w:p>
        </w:tc>
      </w:tr>
      <w:tr>
        <w:trPr>
          <w:trHeight w:val="250"/>
        </w:trPr>
        <w:tc>
          <w:tcPr>
            <w:tcW w:w="438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204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5"/>
              </w:rPr>
              <w:t>$</w:t>
            </w:r>
            <w:r>
              <w:rPr>
                <w:rFonts w:ascii="Arial" w:cs="Arial" w:eastAsia="Arial" w:hAnsi="Arial"/>
                <w:sz w:val="22"/>
                <w:szCs w:val="22"/>
                <w:color w:val="auto"/>
                <w:w w:val="85"/>
              </w:rPr>
              <w:t>86,671</w:t>
            </w:r>
          </w:p>
        </w:tc>
        <w:tc>
          <w:tcPr>
            <w:tcW w:w="6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123,750</w:t>
            </w:r>
          </w:p>
        </w:tc>
        <w:tc>
          <w:tcPr>
            <w:tcW w:w="4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297,114</w:t>
            </w:r>
          </w:p>
        </w:tc>
        <w:tc>
          <w:tcPr>
            <w:tcW w:w="6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373,327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6" w:lineRule="exact"/>
        <w:rPr>
          <w:sz w:val="20"/>
          <w:szCs w:val="20"/>
          <w:color w:val="auto"/>
        </w:rPr>
      </w:pPr>
    </w:p>
    <w:p>
      <w:pPr>
        <w:ind w:right="840" w:firstLine="656"/>
        <w:spacing w:after="0" w:line="196" w:lineRule="auto"/>
        <w:tabs>
          <w:tab w:leader="none" w:pos="783" w:val="left"/>
        </w:tabs>
        <w:numPr>
          <w:ilvl w:val="0"/>
          <w:numId w:val="6"/>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8"/>
          </w:tcPr>
          <w:p>
            <w:pPr>
              <w:jc w:val="right"/>
              <w:ind w:right="540"/>
              <w:spacing w:after="0"/>
              <w:rPr>
                <w:sz w:val="20"/>
                <w:szCs w:val="20"/>
                <w:color w:val="auto"/>
              </w:rPr>
            </w:pPr>
            <w:r>
              <w:rPr>
                <w:rFonts w:ascii="Arial" w:cs="Arial" w:eastAsia="Arial" w:hAnsi="Arial"/>
                <w:sz w:val="22"/>
                <w:szCs w:val="22"/>
                <w:b w:val="1"/>
                <w:bCs w:val="1"/>
                <w:color w:val="auto"/>
                <w:w w:val="93"/>
              </w:rPr>
              <w:t>Three Months Ended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6"/>
          </w:tcPr>
          <w:p>
            <w:pPr>
              <w:jc w:val="right"/>
              <w:ind w:right="320"/>
              <w:spacing w:after="0"/>
              <w:rPr>
                <w:sz w:val="20"/>
                <w:szCs w:val="20"/>
                <w:color w:val="auto"/>
              </w:rPr>
            </w:pPr>
            <w:r>
              <w:rPr>
                <w:rFonts w:ascii="Arial" w:cs="Arial" w:eastAsia="Arial" w:hAnsi="Arial"/>
                <w:sz w:val="22"/>
                <w:szCs w:val="22"/>
                <w:b w:val="1"/>
                <w:bCs w:val="1"/>
                <w:color w:val="auto"/>
                <w:w w:val="93"/>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5"/>
          </w:tcPr>
          <w:p>
            <w:pPr>
              <w:jc w:val="right"/>
              <w:spacing w:after="0" w:line="243" w:lineRule="exact"/>
              <w:rPr>
                <w:sz w:val="20"/>
                <w:szCs w:val="20"/>
                <w:color w:val="auto"/>
              </w:rPr>
            </w:pPr>
            <w:r>
              <w:rPr>
                <w:rFonts w:ascii="Arial" w:cs="Arial" w:eastAsia="Arial" w:hAnsi="Arial"/>
                <w:sz w:val="22"/>
                <w:szCs w:val="22"/>
                <w:b w:val="1"/>
                <w:bCs w:val="1"/>
                <w:color w:val="auto"/>
              </w:rPr>
              <w:t>October 31,</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6"/>
          </w:tcPr>
          <w:p>
            <w:pPr>
              <w:ind w:left="480"/>
              <w:spacing w:after="0" w:line="243" w:lineRule="exact"/>
              <w:rPr>
                <w:sz w:val="20"/>
                <w:szCs w:val="20"/>
                <w:color w:val="auto"/>
              </w:rPr>
            </w:pPr>
            <w:r>
              <w:rPr>
                <w:rFonts w:ascii="Arial" w:cs="Arial" w:eastAsia="Arial" w:hAnsi="Arial"/>
                <w:sz w:val="22"/>
                <w:szCs w:val="22"/>
                <w:b w:val="1"/>
                <w:bCs w:val="1"/>
                <w:color w:val="auto"/>
              </w:rPr>
              <w:t>October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32"/>
              <w:spacing w:after="0"/>
              <w:rPr>
                <w:sz w:val="20"/>
                <w:szCs w:val="20"/>
                <w:color w:val="auto"/>
              </w:rPr>
            </w:pPr>
            <w:r>
              <w:rPr>
                <w:rFonts w:ascii="Arial" w:cs="Arial" w:eastAsia="Arial" w:hAnsi="Arial"/>
                <w:sz w:val="22"/>
                <w:szCs w:val="22"/>
                <w:b w:val="1"/>
                <w:bCs w:val="1"/>
                <w:color w:val="auto"/>
                <w:w w:val="93"/>
              </w:rPr>
              <w:t>2019</w:t>
            </w:r>
          </w:p>
        </w:tc>
        <w:tc>
          <w:tcPr>
            <w:tcW w:w="220" w:type="dxa"/>
            <w:vAlign w:val="bottom"/>
          </w:tcPr>
          <w:p>
            <w:pPr>
              <w:spacing w:after="0"/>
              <w:rPr>
                <w:sz w:val="23"/>
                <w:szCs w:val="23"/>
                <w:color w:val="auto"/>
              </w:rPr>
            </w:pPr>
          </w:p>
        </w:tc>
        <w:tc>
          <w:tcPr>
            <w:tcW w:w="1200" w:type="dxa"/>
            <w:vAlign w:val="bottom"/>
            <w:gridSpan w:val="4"/>
          </w:tcPr>
          <w:p>
            <w:pPr>
              <w:jc w:val="right"/>
              <w:ind w:right="52"/>
              <w:spacing w:after="0"/>
              <w:rPr>
                <w:sz w:val="20"/>
                <w:szCs w:val="20"/>
                <w:color w:val="auto"/>
              </w:rPr>
            </w:pPr>
            <w:r>
              <w:rPr>
                <w:rFonts w:ascii="Arial" w:cs="Arial" w:eastAsia="Arial" w:hAnsi="Arial"/>
                <w:sz w:val="22"/>
                <w:szCs w:val="22"/>
                <w:b w:val="1"/>
                <w:bCs w:val="1"/>
                <w:color w:val="auto"/>
              </w:rPr>
              <w:t>2018</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22"/>
                <w:szCs w:val="22"/>
                <w:b w:val="1"/>
                <w:bCs w:val="1"/>
                <w:color w:val="auto"/>
                <w:w w:val="93"/>
              </w:rPr>
              <w:t>2019</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1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Segment gross (loss) profit:</w:t>
            </w:r>
          </w:p>
        </w:tc>
        <w:tc>
          <w:tcPr>
            <w:tcW w:w="9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44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520" w:type="dxa"/>
            <w:vAlign w:val="bottom"/>
            <w:tcBorders>
              <w:top w:val="single" w:sz="8" w:color="auto"/>
            </w:tcBorders>
            <w:shd w:val="clear" w:color="auto" w:fill="E5FFFF"/>
          </w:tcPr>
          <w:p>
            <w:pPr>
              <w:spacing w:after="0"/>
              <w:rPr>
                <w:sz w:val="20"/>
                <w:szCs w:val="20"/>
                <w:color w:val="auto"/>
              </w:rPr>
            </w:pPr>
          </w:p>
        </w:tc>
        <w:tc>
          <w:tcPr>
            <w:tcW w:w="44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640" w:type="dxa"/>
            <w:vAlign w:val="bottom"/>
            <w:tcBorders>
              <w:top w:val="single" w:sz="8" w:color="auto"/>
            </w:tcBorders>
            <w:shd w:val="clear" w:color="auto" w:fill="E5FFFF"/>
          </w:tcPr>
          <w:p>
            <w:pPr>
              <w:spacing w:after="0"/>
              <w:rPr>
                <w:sz w:val="20"/>
                <w:szCs w:val="20"/>
                <w:color w:val="auto"/>
              </w:rPr>
            </w:pPr>
          </w:p>
        </w:tc>
        <w:tc>
          <w:tcPr>
            <w:tcW w:w="34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1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28</w:t>
            </w:r>
          </w:p>
        </w:tc>
        <w:tc>
          <w:tcPr>
            <w:tcW w:w="12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$ 11,260</w:t>
            </w:r>
          </w:p>
        </w:tc>
        <w:tc>
          <w:tcPr>
            <w:tcW w:w="44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w w:val="92"/>
              </w:rPr>
              <w:t>12,312</w:t>
            </w: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38,475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w w:val="86"/>
              </w:rPr>
              <w:t>(1,786)</w:t>
            </w:r>
          </w:p>
        </w:tc>
        <w:tc>
          <w:tcPr>
            <w:tcW w:w="12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(3,513)</w:t>
            </w: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w w:val="88"/>
              </w:rPr>
              <w:t>(6,420)</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87"/>
              </w:rPr>
              <w:t>(10,478)</w:t>
            </w: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line="237" w:lineRule="exact"/>
              <w:rPr>
                <w:sz w:val="20"/>
                <w:szCs w:val="20"/>
                <w:color w:val="auto"/>
              </w:rPr>
            </w:pPr>
            <w:r>
              <w:rPr>
                <w:rFonts w:ascii="Arial" w:cs="Arial" w:eastAsia="Arial" w:hAnsi="Arial"/>
                <w:sz w:val="22"/>
                <w:szCs w:val="22"/>
                <w:color w:val="auto"/>
              </w:rPr>
              <w:t>Total gross (loss) profit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line="237"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(1,758)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w w:val="81"/>
              </w:rPr>
              <w:t>$</w:t>
            </w:r>
          </w:p>
        </w:tc>
        <w:tc>
          <w:tcPr>
            <w:tcW w:w="5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0"/>
              </w:rPr>
              <w:t>7,747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5,892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27,997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before income taxes:</w:t>
            </w: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2000" w:type="dxa"/>
            <w:vAlign w:val="bottom"/>
            <w:gridSpan w:val="5"/>
          </w:tcPr>
          <w:p>
            <w:pPr>
              <w:jc w:val="right"/>
              <w:ind w:right="220"/>
              <w:spacing w:after="0" w:line="243" w:lineRule="exact"/>
              <w:rPr>
                <w:sz w:val="20"/>
                <w:szCs w:val="20"/>
                <w:color w:val="auto"/>
              </w:rPr>
            </w:pPr>
            <w:r>
              <w:rPr>
                <w:rFonts w:ascii="Arial" w:cs="Arial" w:eastAsia="Arial" w:hAnsi="Arial"/>
                <w:sz w:val="22"/>
                <w:szCs w:val="22"/>
                <w:color w:val="auto"/>
              </w:rPr>
              <w:t>$(2,822)</w:t>
            </w:r>
          </w:p>
        </w:tc>
        <w:tc>
          <w:tcPr>
            <w:tcW w:w="680" w:type="dxa"/>
            <w:vAlign w:val="bottom"/>
            <w:gridSpan w:val="3"/>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0"/>
              </w:rPr>
              <w:t>8,405</w:t>
            </w:r>
          </w:p>
        </w:tc>
        <w:tc>
          <w:tcPr>
            <w:tcW w:w="44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3,491</w:t>
            </w: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29,491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w w:val="86"/>
              </w:rPr>
              <w:t>(1,648)</w:t>
            </w:r>
          </w:p>
        </w:tc>
        <w:tc>
          <w:tcPr>
            <w:tcW w:w="120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(4,240)</w:t>
            </w: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w w:val="88"/>
              </w:rPr>
              <w:t>(6,351)</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87"/>
              </w:rPr>
              <w:t>(11,887)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Corporate and other</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(434)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7"/>
              </w:rPr>
              <w:t>(410)</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w w:val="88"/>
              </w:rPr>
              <w:t>(1,146)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(loss) income before income taxes</w:t>
            </w:r>
          </w:p>
        </w:tc>
        <w:tc>
          <w:tcPr>
            <w:tcW w:w="92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E5FFFF"/>
              <w:bottom w:val="single" w:sz="8" w:color="E5FFFF"/>
            </w:tcBorders>
            <w:shd w:val="clear" w:color="auto" w:fill="E5FFFF"/>
          </w:tcPr>
          <w:p>
            <w:pPr>
              <w:spacing w:after="0"/>
              <w:rPr>
                <w:sz w:val="20"/>
                <w:szCs w:val="20"/>
                <w:color w:val="auto"/>
              </w:rPr>
            </w:pPr>
          </w:p>
        </w:tc>
        <w:tc>
          <w:tcPr>
            <w:tcW w:w="74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(4,904)</w:t>
            </w: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E5FFFF"/>
          </w:tcPr>
          <w:p>
            <w:pPr>
              <w:jc w:val="right"/>
              <w:ind w:right="12"/>
              <w:spacing w:after="0" w:line="237" w:lineRule="exact"/>
              <w:rPr>
                <w:sz w:val="20"/>
                <w:szCs w:val="20"/>
                <w:color w:val="auto"/>
              </w:rPr>
            </w:pPr>
            <w:r>
              <w:rPr>
                <w:rFonts w:ascii="Arial" w:cs="Arial" w:eastAsia="Arial" w:hAnsi="Arial"/>
                <w:sz w:val="22"/>
                <w:szCs w:val="22"/>
                <w:color w:val="auto"/>
                <w:w w:val="81"/>
              </w:rPr>
              <w:t>$</w:t>
            </w:r>
          </w:p>
        </w:tc>
        <w:tc>
          <w:tcPr>
            <w:tcW w:w="5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0"/>
              </w:rPr>
              <w:t>3,755</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8"/>
              </w:rPr>
              <w:t>(4,006)</w:t>
            </w:r>
          </w:p>
        </w:tc>
        <w:tc>
          <w:tcPr>
            <w:tcW w:w="340" w:type="dxa"/>
            <w:vAlign w:val="bottom"/>
            <w:tcBorders>
              <w:top w:val="single" w:sz="8" w:color="E5FFFF"/>
              <w:bottom w:val="single" w:sz="8" w:color="E5FFFF"/>
            </w:tcBorders>
            <w:shd w:val="clear" w:color="auto" w:fill="E5FFFF"/>
          </w:tcPr>
          <w:p>
            <w:pPr>
              <w:spacing w:after="0"/>
              <w:rPr>
                <w:sz w:val="20"/>
                <w:szCs w:val="20"/>
                <w:color w:val="auto"/>
              </w:rPr>
            </w:pPr>
          </w:p>
        </w:tc>
        <w:tc>
          <w:tcPr>
            <w:tcW w:w="32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16,263</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22"/>
                <w:szCs w:val="22"/>
                <w:color w:val="auto"/>
              </w:rPr>
              <w:t>Benefit (provision) for income taxes: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1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945</w:t>
            </w:r>
          </w:p>
        </w:tc>
        <w:tc>
          <w:tcPr>
            <w:tcW w:w="680" w:type="dxa"/>
            <w:vAlign w:val="bottom"/>
            <w:gridSpan w:val="3"/>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0"/>
              </w:rPr>
              <w:t>1,643</w:t>
            </w:r>
          </w:p>
        </w:tc>
        <w:tc>
          <w:tcPr>
            <w:tcW w:w="440" w:type="dxa"/>
            <w:vAlign w:val="bottom"/>
            <w:shd w:val="clear" w:color="auto" w:fill="E5FFFF"/>
          </w:tcPr>
          <w:p>
            <w:pPr>
              <w:spacing w:after="0"/>
              <w:rPr>
                <w:sz w:val="21"/>
                <w:szCs w:val="21"/>
                <w:color w:val="auto"/>
              </w:rPr>
            </w:pPr>
          </w:p>
        </w:tc>
        <w:tc>
          <w:tcPr>
            <w:tcW w:w="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(160)</w:t>
            </w: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(1,806)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2,181</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0"/>
              </w:rPr>
              <w:t>8,318</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9,282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19,914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Corporate and other</w:t>
            </w: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105</w:t>
            </w:r>
          </w:p>
        </w:tc>
        <w:tc>
          <w:tcPr>
            <w:tcW w:w="4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w:t>
            </w: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279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240</w:t>
            </w: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line="237" w:lineRule="exact"/>
              <w:rPr>
                <w:sz w:val="20"/>
                <w:szCs w:val="20"/>
                <w:color w:val="auto"/>
              </w:rPr>
            </w:pPr>
            <w:r>
              <w:rPr>
                <w:rFonts w:ascii="Arial" w:cs="Arial" w:eastAsia="Arial" w:hAnsi="Arial"/>
                <w:sz w:val="22"/>
                <w:szCs w:val="22"/>
                <w:color w:val="auto"/>
              </w:rPr>
              <w:t>Total benefit for income taxes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6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3,231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Arial" w:cs="Arial" w:eastAsia="Arial" w:hAnsi="Arial"/>
                <w:sz w:val="22"/>
                <w:szCs w:val="22"/>
                <w:color w:val="auto"/>
                <w:w w:val="86"/>
              </w:rPr>
              <w:t>$ 10,014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9,401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Segment (loss) profit (net of noncontrolling interests):</w:t>
            </w: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2000" w:type="dxa"/>
            <w:vAlign w:val="bottom"/>
            <w:gridSpan w:val="5"/>
          </w:tcPr>
          <w:p>
            <w:pPr>
              <w:jc w:val="right"/>
              <w:ind w:right="220"/>
              <w:spacing w:after="0" w:line="243" w:lineRule="exact"/>
              <w:rPr>
                <w:sz w:val="20"/>
                <w:szCs w:val="20"/>
                <w:color w:val="auto"/>
              </w:rPr>
            </w:pPr>
            <w:r>
              <w:rPr>
                <w:rFonts w:ascii="Arial" w:cs="Arial" w:eastAsia="Arial" w:hAnsi="Arial"/>
                <w:sz w:val="22"/>
                <w:szCs w:val="22"/>
                <w:color w:val="auto"/>
              </w:rPr>
              <w:t>$(2,330)</w:t>
            </w:r>
          </w:p>
        </w:tc>
        <w:tc>
          <w:tcPr>
            <w:tcW w:w="680" w:type="dxa"/>
            <w:vAlign w:val="bottom"/>
            <w:gridSpan w:val="3"/>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0"/>
              </w:rPr>
              <w:t>7,946</w:t>
            </w:r>
          </w:p>
        </w:tc>
        <w:tc>
          <w:tcPr>
            <w:tcW w:w="44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684</w:t>
            </w: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23,096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9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607</w:t>
            </w:r>
          </w:p>
        </w:tc>
        <w:tc>
          <w:tcPr>
            <w:tcW w:w="4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0"/>
              </w:rPr>
              <w:t>4,260</w:t>
            </w: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3,209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8,549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Corporate and other</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(329)</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7"/>
              </w:rPr>
              <w:t>(331)</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(868)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w w:val="91"/>
              </w:rPr>
              <w:t>Net (loss) income attributable to REX common shareholders</w:t>
            </w:r>
          </w:p>
        </w:tc>
        <w:tc>
          <w:tcPr>
            <w:tcW w:w="92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E5FFFF"/>
              <w:bottom w:val="single" w:sz="8" w:color="E5FFFF"/>
            </w:tcBorders>
            <w:shd w:val="clear" w:color="auto" w:fill="E5FFFF"/>
          </w:tcPr>
          <w:p>
            <w:pPr>
              <w:spacing w:after="0"/>
              <w:rPr>
                <w:sz w:val="20"/>
                <w:szCs w:val="20"/>
                <w:color w:val="auto"/>
              </w:rPr>
            </w:pPr>
          </w:p>
        </w:tc>
        <w:tc>
          <w:tcPr>
            <w:tcW w:w="74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(2,052)</w:t>
            </w: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76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w w:val="86"/>
              </w:rPr>
              <w:t>$ 11,875</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3,025</w:t>
            </w:r>
          </w:p>
        </w:tc>
        <w:tc>
          <w:tcPr>
            <w:tcW w:w="340" w:type="dxa"/>
            <w:vAlign w:val="bottom"/>
            <w:tcBorders>
              <w:top w:val="single" w:sz="8" w:color="E5FFFF"/>
              <w:bottom w:val="single" w:sz="8" w:color="E5FFFF"/>
            </w:tcBorders>
            <w:shd w:val="clear" w:color="auto" w:fill="E5FFFF"/>
          </w:tcPr>
          <w:p>
            <w:pPr>
              <w:spacing w:after="0"/>
              <w:rPr>
                <w:sz w:val="20"/>
                <w:szCs w:val="20"/>
                <w:color w:val="auto"/>
              </w:rPr>
            </w:pPr>
          </w:p>
        </w:tc>
        <w:tc>
          <w:tcPr>
            <w:tcW w:w="32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30,588</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22"/>
                <w:szCs w:val="22"/>
                <w:b w:val="1"/>
                <w:bCs w:val="1"/>
                <w:color w:val="auto"/>
                <w:w w:val="87"/>
              </w:rPr>
              <w:t>October 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January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420" w:type="dxa"/>
            <w:vAlign w:val="bottom"/>
            <w:gridSpan w:val="2"/>
          </w:tcPr>
          <w:p>
            <w:pPr>
              <w:spacing w:after="0"/>
              <w:rPr>
                <w:sz w:val="20"/>
                <w:szCs w:val="20"/>
                <w:color w:val="auto"/>
              </w:rPr>
            </w:pPr>
            <w:r>
              <w:rPr>
                <w:rFonts w:ascii="Arial" w:cs="Arial" w:eastAsia="Arial" w:hAnsi="Arial"/>
                <w:sz w:val="22"/>
                <w:szCs w:val="22"/>
                <w:color w:val="auto"/>
              </w:rPr>
              <w:t>Assets:</w:t>
            </w:r>
          </w:p>
        </w:tc>
        <w:tc>
          <w:tcPr>
            <w:tcW w:w="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22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040" w:type="dxa"/>
            <w:vAlign w:val="bottom"/>
            <w:gridSpan w:val="2"/>
            <w:shd w:val="clear" w:color="auto" w:fill="E5FFFF"/>
          </w:tcPr>
          <w:p>
            <w:pPr>
              <w:ind w:left="920"/>
              <w:spacing w:after="0" w:line="243" w:lineRule="exact"/>
              <w:rPr>
                <w:sz w:val="20"/>
                <w:szCs w:val="20"/>
                <w:color w:val="auto"/>
              </w:rPr>
            </w:pPr>
            <w:r>
              <w:rPr>
                <w:rFonts w:ascii="Arial" w:cs="Arial" w:eastAsia="Arial" w:hAnsi="Arial"/>
                <w:sz w:val="22"/>
                <w:szCs w:val="22"/>
                <w:color w:val="auto"/>
                <w:w w:val="81"/>
              </w:rPr>
              <w:t>$</w:t>
            </w:r>
          </w:p>
        </w:tc>
        <w:tc>
          <w:tcPr>
            <w:tcW w:w="1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404,733</w:t>
            </w:r>
          </w:p>
        </w:tc>
        <w:tc>
          <w:tcPr>
            <w:tcW w:w="6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393,691</w:t>
            </w:r>
          </w:p>
        </w:tc>
        <w:tc>
          <w:tcPr>
            <w:tcW w:w="8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6,554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Corporate and other</w:t>
            </w:r>
          </w:p>
        </w:tc>
        <w:tc>
          <w:tcPr>
            <w:tcW w:w="9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82,285</w:t>
            </w:r>
          </w:p>
        </w:tc>
        <w:tc>
          <w:tcPr>
            <w:tcW w:w="4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60" w:type="dxa"/>
            <w:vAlign w:val="bottom"/>
            <w:tcBorders>
              <w:bottom w:val="single" w:sz="8" w:color="auto"/>
            </w:tcBorders>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69,077</w:t>
            </w:r>
          </w:p>
        </w:tc>
        <w:tc>
          <w:tcPr>
            <w:tcW w:w="8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line="237" w:lineRule="exact"/>
              <w:rPr>
                <w:sz w:val="20"/>
                <w:szCs w:val="20"/>
                <w:color w:val="auto"/>
              </w:rPr>
            </w:pPr>
            <w:r>
              <w:rPr>
                <w:rFonts w:ascii="Arial" w:cs="Arial" w:eastAsia="Arial" w:hAnsi="Arial"/>
                <w:sz w:val="22"/>
                <w:szCs w:val="22"/>
                <w:color w:val="auto"/>
              </w:rPr>
              <w:t>Total assets</w:t>
            </w:r>
          </w:p>
        </w:tc>
        <w:tc>
          <w:tcPr>
            <w:tcW w:w="920" w:type="dxa"/>
            <w:vAlign w:val="bottom"/>
          </w:tcPr>
          <w:p>
            <w:pPr>
              <w:spacing w:after="0"/>
              <w:rPr>
                <w:sz w:val="20"/>
                <w:szCs w:val="20"/>
                <w:color w:val="auto"/>
              </w:rPr>
            </w:pPr>
          </w:p>
        </w:tc>
        <w:tc>
          <w:tcPr>
            <w:tcW w:w="12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w w:val="81"/>
              </w:rPr>
              <w:t>$</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493,572</w:t>
            </w:r>
          </w:p>
        </w:tc>
        <w:tc>
          <w:tcPr>
            <w:tcW w:w="54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471,393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22"/>
                <w:szCs w:val="22"/>
                <w:color w:val="auto"/>
              </w:rPr>
              <w:t>23</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40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6"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center"/>
              <w:ind w:right="580"/>
              <w:spacing w:after="0"/>
              <w:rPr>
                <w:sz w:val="20"/>
                <w:szCs w:val="20"/>
                <w:color w:val="auto"/>
              </w:rPr>
            </w:pPr>
            <w:r>
              <w:rPr>
                <w:rFonts w:ascii="Arial" w:cs="Arial" w:eastAsia="Arial" w:hAnsi="Arial"/>
                <w:sz w:val="22"/>
                <w:szCs w:val="22"/>
                <w:b w:val="1"/>
                <w:bCs w:val="1"/>
                <w:color w:val="auto"/>
                <w:w w:val="90"/>
              </w:rPr>
              <w:t>Three Months Ended</w:t>
            </w:r>
          </w:p>
        </w:tc>
        <w:tc>
          <w:tcPr>
            <w:tcW w:w="160" w:type="dxa"/>
            <w:vAlign w:val="bottom"/>
          </w:tcPr>
          <w:p>
            <w:pPr>
              <w:spacing w:after="0"/>
              <w:rPr>
                <w:sz w:val="21"/>
                <w:szCs w:val="21"/>
                <w:color w:val="auto"/>
              </w:rPr>
            </w:pPr>
          </w:p>
        </w:tc>
        <w:tc>
          <w:tcPr>
            <w:tcW w:w="2200" w:type="dxa"/>
            <w:vAlign w:val="bottom"/>
            <w:gridSpan w:val="7"/>
          </w:tcPr>
          <w:p>
            <w:pPr>
              <w:jc w:val="center"/>
              <w:ind w:right="28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57"/>
        </w:trPr>
        <w:tc>
          <w:tcPr>
            <w:tcW w:w="6340" w:type="dxa"/>
            <w:vAlign w:val="bottom"/>
            <w:gridSpan w:val="2"/>
            <w:vMerge w:val="restart"/>
          </w:tcPr>
          <w:p>
            <w:pPr>
              <w:spacing w:after="0"/>
              <w:rPr>
                <w:sz w:val="20"/>
                <w:szCs w:val="20"/>
                <w:color w:val="auto"/>
              </w:rPr>
            </w:pPr>
            <w:r>
              <w:rPr>
                <w:rFonts w:ascii="Arial" w:cs="Arial" w:eastAsia="Arial" w:hAnsi="Arial"/>
                <w:sz w:val="22"/>
                <w:szCs w:val="22"/>
                <w:color w:val="auto"/>
              </w:rPr>
              <w:t>Sales of products, ethanol and by-products segment:</w:t>
            </w:r>
          </w:p>
        </w:tc>
        <w:tc>
          <w:tcPr>
            <w:tcW w:w="140" w:type="dxa"/>
            <w:vAlign w:val="bottom"/>
          </w:tcPr>
          <w:p>
            <w:pPr>
              <w:spacing w:after="0"/>
              <w:rPr>
                <w:sz w:val="22"/>
                <w:szCs w:val="22"/>
                <w:color w:val="auto"/>
              </w:rPr>
            </w:pPr>
          </w:p>
        </w:tc>
        <w:tc>
          <w:tcPr>
            <w:tcW w:w="2580" w:type="dxa"/>
            <w:vAlign w:val="bottom"/>
            <w:gridSpan w:val="5"/>
          </w:tcPr>
          <w:p>
            <w:pPr>
              <w:jc w:val="center"/>
              <w:ind w:right="580"/>
              <w:spacing w:after="0"/>
              <w:rPr>
                <w:sz w:val="20"/>
                <w:szCs w:val="20"/>
                <w:color w:val="auto"/>
              </w:rPr>
            </w:pPr>
            <w:r>
              <w:rPr>
                <w:rFonts w:ascii="Arial" w:cs="Arial" w:eastAsia="Arial" w:hAnsi="Arial"/>
                <w:sz w:val="22"/>
                <w:szCs w:val="22"/>
                <w:b w:val="1"/>
                <w:bCs w:val="1"/>
                <w:color w:val="auto"/>
                <w:w w:val="89"/>
              </w:rPr>
              <w:t>October 31,</w:t>
            </w:r>
          </w:p>
        </w:tc>
        <w:tc>
          <w:tcPr>
            <w:tcW w:w="160" w:type="dxa"/>
            <w:vAlign w:val="bottom"/>
          </w:tcPr>
          <w:p>
            <w:pPr>
              <w:spacing w:after="0"/>
              <w:rPr>
                <w:sz w:val="22"/>
                <w:szCs w:val="22"/>
                <w:color w:val="auto"/>
              </w:rPr>
            </w:pPr>
          </w:p>
        </w:tc>
        <w:tc>
          <w:tcPr>
            <w:tcW w:w="2200" w:type="dxa"/>
            <w:vAlign w:val="bottom"/>
            <w:gridSpan w:val="7"/>
          </w:tcPr>
          <w:p>
            <w:pPr>
              <w:jc w:val="center"/>
              <w:ind w:right="280"/>
              <w:spacing w:after="0"/>
              <w:rPr>
                <w:sz w:val="20"/>
                <w:szCs w:val="20"/>
                <w:color w:val="auto"/>
              </w:rPr>
            </w:pPr>
            <w:r>
              <w:rPr>
                <w:rFonts w:ascii="Arial" w:cs="Arial" w:eastAsia="Arial" w:hAnsi="Arial"/>
                <w:sz w:val="22"/>
                <w:szCs w:val="22"/>
                <w:b w:val="1"/>
                <w:bCs w:val="1"/>
                <w:color w:val="auto"/>
                <w:w w:val="89"/>
              </w:rPr>
              <w:t>October 31,</w:t>
            </w:r>
          </w:p>
        </w:tc>
        <w:tc>
          <w:tcPr>
            <w:tcW w:w="0" w:type="dxa"/>
            <w:vAlign w:val="bottom"/>
          </w:tcPr>
          <w:p>
            <w:pPr>
              <w:spacing w:after="0"/>
              <w:rPr>
                <w:sz w:val="1"/>
                <w:szCs w:val="1"/>
                <w:color w:val="auto"/>
              </w:rPr>
            </w:pPr>
          </w:p>
        </w:tc>
      </w:tr>
      <w:tr>
        <w:trPr>
          <w:trHeight w:val="271"/>
        </w:trPr>
        <w:tc>
          <w:tcPr>
            <w:tcW w:w="634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22"/>
                <w:szCs w:val="22"/>
                <w:b w:val="1"/>
                <w:bCs w:val="1"/>
                <w:color w:val="auto"/>
                <w:w w:val="89"/>
              </w:rPr>
              <w:t>2019</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92"/>
              <w:spacing w:after="0"/>
              <w:rPr>
                <w:sz w:val="20"/>
                <w:szCs w:val="20"/>
                <w:color w:val="auto"/>
              </w:rPr>
            </w:pPr>
            <w:r>
              <w:rPr>
                <w:rFonts w:ascii="Arial" w:cs="Arial" w:eastAsia="Arial" w:hAnsi="Arial"/>
                <w:sz w:val="22"/>
                <w:szCs w:val="22"/>
                <w:b w:val="1"/>
                <w:bCs w:val="1"/>
                <w:color w:val="auto"/>
              </w:rPr>
              <w:t>2018</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22"/>
                <w:szCs w:val="22"/>
                <w:b w:val="1"/>
                <w:bCs w:val="1"/>
                <w:color w:val="auto"/>
                <w:w w:val="98"/>
              </w:rPr>
              <w:t>2019</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2"/>
              <w:spacing w:after="0"/>
              <w:rPr>
                <w:sz w:val="20"/>
                <w:szCs w:val="20"/>
                <w:color w:val="auto"/>
              </w:rPr>
            </w:pPr>
            <w:r>
              <w:rPr>
                <w:rFonts w:ascii="Arial" w:cs="Arial" w:eastAsia="Arial" w:hAnsi="Arial"/>
                <w:sz w:val="22"/>
                <w:szCs w:val="22"/>
                <w:b w:val="1"/>
                <w:bCs w:val="1"/>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1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6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2"/>
              </w:rPr>
              <w:t>66,149</w:t>
            </w:r>
          </w:p>
        </w:tc>
        <w:tc>
          <w:tcPr>
            <w:tcW w:w="68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91,538</w:t>
            </w:r>
          </w:p>
        </w:tc>
        <w:tc>
          <w:tcPr>
            <w:tcW w:w="44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0"/>
              </w:rPr>
              <w:t>226,986</w:t>
            </w:r>
          </w:p>
        </w:tc>
        <w:tc>
          <w:tcPr>
            <w:tcW w:w="44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3"/>
              </w:rPr>
              <w:t>283,720</w:t>
            </w:r>
          </w:p>
        </w:tc>
        <w:tc>
          <w:tcPr>
            <w:tcW w:w="20" w:type="dxa"/>
            <w:vAlign w:val="bottom"/>
            <w:tcBorders>
              <w:top w:val="single" w:sz="8" w:color="E5FFFF"/>
            </w:tcBorders>
            <w:shd w:val="clear" w:color="auto" w:fill="E5FFFF"/>
          </w:tcPr>
          <w:p>
            <w:pPr>
              <w:spacing w:after="0"/>
              <w:rPr>
                <w:sz w:val="20"/>
                <w:szCs w:val="20"/>
                <w:color w:val="auto"/>
              </w:rPr>
            </w:pP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w w:val="92"/>
              </w:rPr>
              <w:t>16,627</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24,683</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51,188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65,826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3,099</w:t>
            </w:r>
          </w:p>
        </w:tc>
        <w:tc>
          <w:tcPr>
            <w:tcW w:w="6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4,964</w:t>
            </w: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12,681</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15,019</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702</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2,340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5,846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8,100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Other</w:t>
            </w: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26</w:t>
            </w:r>
          </w:p>
        </w:tc>
        <w:tc>
          <w:tcPr>
            <w:tcW w:w="6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w:t>
            </w: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125</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1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6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2"/>
              </w:rPr>
              <w:t>86,603</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7"/>
              </w:rPr>
              <w:t>123,546</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0"/>
              </w:rPr>
              <w:t>296,826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3"/>
              </w:rPr>
              <w:t>372,717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Sales of products, refined coal segment:</w:t>
            </w: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4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c>
          <w:tcPr>
            <w:tcW w:w="6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204</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288</w:t>
            </w:r>
          </w:p>
        </w:tc>
        <w:tc>
          <w:tcPr>
            <w:tcW w:w="1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October 31, 2019, investments in our ethanol business include equity investments in three ethanol limited liability companies, two of which we have a majority ownership interest in. The following table is a summary of ethanol gallons shipped at our plants: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840" w:type="dxa"/>
            <w:vAlign w:val="bottom"/>
            <w:tcBorders>
              <w:top w:val="single" w:sz="8" w:color="auto"/>
              <w:left w:val="single" w:sz="8" w:color="auto"/>
              <w:right w:val="single" w:sz="8" w:color="auto"/>
            </w:tcBorders>
          </w:tcPr>
          <w:p>
            <w:pPr>
              <w:spacing w:after="0"/>
              <w:rPr>
                <w:sz w:val="19"/>
                <w:szCs w:val="19"/>
                <w:color w:val="auto"/>
              </w:rPr>
            </w:pPr>
          </w:p>
        </w:tc>
        <w:tc>
          <w:tcPr>
            <w:tcW w:w="1520" w:type="dxa"/>
            <w:vAlign w:val="bottom"/>
            <w:tcBorders>
              <w:top w:val="single" w:sz="8" w:color="auto"/>
            </w:tcBorders>
          </w:tcPr>
          <w:p>
            <w:pPr>
              <w:jc w:val="center"/>
              <w:ind w:left="192"/>
              <w:spacing w:after="0" w:line="229" w:lineRule="exact"/>
              <w:rPr>
                <w:sz w:val="20"/>
                <w:szCs w:val="20"/>
                <w:color w:val="auto"/>
              </w:rPr>
            </w:pPr>
            <w:r>
              <w:rPr>
                <w:rFonts w:ascii="Arial" w:cs="Arial" w:eastAsia="Arial" w:hAnsi="Arial"/>
                <w:sz w:val="22"/>
                <w:szCs w:val="22"/>
                <w:b w:val="1"/>
                <w:bCs w:val="1"/>
                <w:color w:val="auto"/>
                <w:w w:val="92"/>
              </w:rPr>
              <w:t>Trailing 12</w:t>
            </w:r>
          </w:p>
        </w:tc>
        <w:tc>
          <w:tcPr>
            <w:tcW w:w="320" w:type="dxa"/>
            <w:vAlign w:val="bottom"/>
            <w:tcBorders>
              <w:top w:val="single" w:sz="8" w:color="auto"/>
              <w:right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7"/>
              </w:rPr>
              <w:t>REX’s</w:t>
            </w:r>
          </w:p>
        </w:tc>
        <w:tc>
          <w:tcPr>
            <w:tcW w:w="1940" w:type="dxa"/>
            <w:vAlign w:val="bottom"/>
            <w:tcBorders>
              <w:top w:val="single" w:sz="8" w:color="auto"/>
            </w:tcBorders>
          </w:tcPr>
          <w:p>
            <w:pPr>
              <w:jc w:val="center"/>
              <w:ind w:left="192"/>
              <w:spacing w:after="0" w:line="229" w:lineRule="exact"/>
              <w:rPr>
                <w:sz w:val="20"/>
                <w:szCs w:val="20"/>
                <w:color w:val="auto"/>
              </w:rPr>
            </w:pPr>
            <w:r>
              <w:rPr>
                <w:rFonts w:ascii="Arial" w:cs="Arial" w:eastAsia="Arial" w:hAnsi="Arial"/>
                <w:sz w:val="22"/>
                <w:szCs w:val="22"/>
                <w:b w:val="1"/>
                <w:bCs w:val="1"/>
                <w:color w:val="auto"/>
                <w:w w:val="92"/>
              </w:rPr>
              <w:t>Current Effective</w:t>
            </w:r>
          </w:p>
        </w:tc>
        <w:tc>
          <w:tcPr>
            <w:tcW w:w="320" w:type="dxa"/>
            <w:vAlign w:val="bottom"/>
            <w:tcBorders>
              <w:top w:val="single" w:sz="8" w:color="auto"/>
              <w:right w:val="single" w:sz="8" w:color="auto"/>
            </w:tcBorders>
          </w:tcPr>
          <w:p>
            <w:pPr>
              <w:spacing w:after="0"/>
              <w:rPr>
                <w:sz w:val="19"/>
                <w:szCs w:val="19"/>
                <w:color w:val="auto"/>
              </w:rPr>
            </w:pPr>
          </w:p>
        </w:tc>
      </w:tr>
      <w:tr>
        <w:trPr>
          <w:trHeight w:val="243"/>
        </w:trPr>
        <w:tc>
          <w:tcPr>
            <w:tcW w:w="5840" w:type="dxa"/>
            <w:vAlign w:val="bottom"/>
            <w:tcBorders>
              <w:left w:val="single" w:sz="8" w:color="auto"/>
              <w:right w:val="single" w:sz="8" w:color="auto"/>
            </w:tcBorders>
          </w:tcPr>
          <w:p>
            <w:pPr>
              <w:spacing w:after="0"/>
              <w:rPr>
                <w:sz w:val="21"/>
                <w:szCs w:val="21"/>
                <w:color w:val="auto"/>
              </w:rPr>
            </w:pPr>
          </w:p>
        </w:tc>
        <w:tc>
          <w:tcPr>
            <w:tcW w:w="152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9"/>
              </w:rPr>
              <w:t>Months</w:t>
            </w:r>
          </w:p>
        </w:tc>
        <w:tc>
          <w:tcPr>
            <w:tcW w:w="3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3"/>
              </w:rPr>
              <w:t>Current</w:t>
            </w:r>
          </w:p>
        </w:tc>
        <w:tc>
          <w:tcPr>
            <w:tcW w:w="194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8"/>
              </w:rPr>
              <w:t>Ownership of</w:t>
            </w:r>
          </w:p>
        </w:tc>
        <w:tc>
          <w:tcPr>
            <w:tcW w:w="320" w:type="dxa"/>
            <w:vAlign w:val="bottom"/>
            <w:tcBorders>
              <w:right w:val="single" w:sz="8" w:color="auto"/>
            </w:tcBorders>
          </w:tcPr>
          <w:p>
            <w:pPr>
              <w:spacing w:after="0"/>
              <w:rPr>
                <w:sz w:val="21"/>
                <w:szCs w:val="21"/>
                <w:color w:val="auto"/>
              </w:rPr>
            </w:pPr>
          </w:p>
        </w:tc>
      </w:tr>
      <w:tr>
        <w:trPr>
          <w:trHeight w:val="243"/>
        </w:trPr>
        <w:tc>
          <w:tcPr>
            <w:tcW w:w="5840" w:type="dxa"/>
            <w:vAlign w:val="bottom"/>
            <w:tcBorders>
              <w:left w:val="single" w:sz="8" w:color="auto"/>
              <w:right w:val="single" w:sz="8" w:color="auto"/>
            </w:tcBorders>
          </w:tcPr>
          <w:p>
            <w:pPr>
              <w:spacing w:after="0"/>
              <w:rPr>
                <w:sz w:val="21"/>
                <w:szCs w:val="21"/>
                <w:color w:val="auto"/>
              </w:rPr>
            </w:pPr>
          </w:p>
        </w:tc>
        <w:tc>
          <w:tcPr>
            <w:tcW w:w="152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91"/>
              </w:rPr>
              <w:t>Ethanol</w:t>
            </w:r>
          </w:p>
        </w:tc>
        <w:tc>
          <w:tcPr>
            <w:tcW w:w="3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Effective</w:t>
            </w:r>
          </w:p>
        </w:tc>
        <w:tc>
          <w:tcPr>
            <w:tcW w:w="194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90"/>
              </w:rPr>
              <w:t>Trailing 12</w:t>
            </w:r>
          </w:p>
        </w:tc>
        <w:tc>
          <w:tcPr>
            <w:tcW w:w="320" w:type="dxa"/>
            <w:vAlign w:val="bottom"/>
            <w:tcBorders>
              <w:right w:val="single" w:sz="8" w:color="auto"/>
            </w:tcBorders>
          </w:tcPr>
          <w:p>
            <w:pPr>
              <w:spacing w:after="0"/>
              <w:rPr>
                <w:sz w:val="21"/>
                <w:szCs w:val="21"/>
                <w:color w:val="auto"/>
              </w:rPr>
            </w:pPr>
          </w:p>
        </w:tc>
      </w:tr>
      <w:tr>
        <w:trPr>
          <w:trHeight w:val="243"/>
        </w:trPr>
        <w:tc>
          <w:tcPr>
            <w:tcW w:w="5840" w:type="dxa"/>
            <w:vAlign w:val="bottom"/>
            <w:tcBorders>
              <w:left w:val="single" w:sz="8" w:color="auto"/>
              <w:right w:val="single" w:sz="8" w:color="auto"/>
            </w:tcBorders>
          </w:tcPr>
          <w:p>
            <w:pPr>
              <w:spacing w:after="0"/>
              <w:rPr>
                <w:sz w:val="21"/>
                <w:szCs w:val="21"/>
                <w:color w:val="auto"/>
              </w:rPr>
            </w:pPr>
          </w:p>
        </w:tc>
        <w:tc>
          <w:tcPr>
            <w:tcW w:w="152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6"/>
              </w:rPr>
              <w:t>Gallons</w:t>
            </w:r>
          </w:p>
        </w:tc>
        <w:tc>
          <w:tcPr>
            <w:tcW w:w="3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194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9"/>
              </w:rPr>
              <w:t>Months Ethanol</w:t>
            </w:r>
          </w:p>
        </w:tc>
        <w:tc>
          <w:tcPr>
            <w:tcW w:w="320" w:type="dxa"/>
            <w:vAlign w:val="bottom"/>
            <w:tcBorders>
              <w:right w:val="single" w:sz="8" w:color="auto"/>
            </w:tcBorders>
          </w:tcPr>
          <w:p>
            <w:pPr>
              <w:spacing w:after="0"/>
              <w:rPr>
                <w:sz w:val="21"/>
                <w:szCs w:val="21"/>
                <w:color w:val="auto"/>
              </w:rPr>
            </w:pPr>
          </w:p>
        </w:tc>
      </w:tr>
      <w:tr>
        <w:trPr>
          <w:trHeight w:val="271"/>
        </w:trPr>
        <w:tc>
          <w:tcPr>
            <w:tcW w:w="5840" w:type="dxa"/>
            <w:vAlign w:val="bottom"/>
            <w:tcBorders>
              <w:left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22"/>
                <w:szCs w:val="22"/>
                <w:b w:val="1"/>
                <w:bCs w:val="1"/>
                <w:color w:val="auto"/>
              </w:rPr>
              <w:t>Entity</w:t>
            </w:r>
          </w:p>
        </w:tc>
        <w:tc>
          <w:tcPr>
            <w:tcW w:w="1520" w:type="dxa"/>
            <w:vAlign w:val="bottom"/>
            <w:tcBorders>
              <w:bottom w:val="single" w:sz="8" w:color="auto"/>
            </w:tcBorders>
          </w:tcPr>
          <w:p>
            <w:pPr>
              <w:jc w:val="center"/>
              <w:ind w:left="212"/>
              <w:spacing w:after="0"/>
              <w:rPr>
                <w:sz w:val="20"/>
                <w:szCs w:val="20"/>
                <w:color w:val="auto"/>
              </w:rPr>
            </w:pPr>
            <w:r>
              <w:rPr>
                <w:rFonts w:ascii="Arial" w:cs="Arial" w:eastAsia="Arial" w:hAnsi="Arial"/>
                <w:sz w:val="22"/>
                <w:szCs w:val="22"/>
                <w:b w:val="1"/>
                <w:bCs w:val="1"/>
                <w:color w:val="auto"/>
                <w:w w:val="87"/>
              </w:rPr>
              <w:t>Shipped</w:t>
            </w:r>
          </w:p>
        </w:tc>
        <w:tc>
          <w:tcPr>
            <w:tcW w:w="320" w:type="dxa"/>
            <w:vAlign w:val="bottom"/>
            <w:tcBorders>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Interest</w:t>
            </w:r>
          </w:p>
        </w:tc>
        <w:tc>
          <w:tcPr>
            <w:tcW w:w="1940" w:type="dxa"/>
            <w:vAlign w:val="bottom"/>
            <w:tcBorders>
              <w:bottom w:val="single" w:sz="8" w:color="auto"/>
            </w:tcBorders>
          </w:tcPr>
          <w:p>
            <w:pPr>
              <w:jc w:val="center"/>
              <w:ind w:left="192"/>
              <w:spacing w:after="0"/>
              <w:rPr>
                <w:sz w:val="20"/>
                <w:szCs w:val="20"/>
                <w:color w:val="auto"/>
              </w:rPr>
            </w:pPr>
            <w:r>
              <w:rPr>
                <w:rFonts w:ascii="Arial" w:cs="Arial" w:eastAsia="Arial" w:hAnsi="Arial"/>
                <w:sz w:val="22"/>
                <w:szCs w:val="22"/>
                <w:b w:val="1"/>
                <w:bCs w:val="1"/>
                <w:color w:val="auto"/>
                <w:w w:val="87"/>
              </w:rPr>
              <w:t>Gallons Shipped</w:t>
            </w:r>
          </w:p>
        </w:tc>
        <w:tc>
          <w:tcPr>
            <w:tcW w:w="320" w:type="dxa"/>
            <w:vAlign w:val="bottom"/>
            <w:tcBorders>
              <w:bottom w:val="single" w:sz="8" w:color="auto"/>
              <w:right w:val="single" w:sz="8" w:color="auto"/>
            </w:tcBorders>
          </w:tcPr>
          <w:p>
            <w:pPr>
              <w:spacing w:after="0"/>
              <w:rPr>
                <w:sz w:val="23"/>
                <w:szCs w:val="23"/>
                <w:color w:val="auto"/>
              </w:rPr>
            </w:pPr>
          </w:p>
        </w:tc>
      </w:tr>
      <w:tr>
        <w:trPr>
          <w:trHeight w:val="237"/>
        </w:trPr>
        <w:tc>
          <w:tcPr>
            <w:tcW w:w="5840" w:type="dxa"/>
            <w:vAlign w:val="bottom"/>
            <w:tcBorders>
              <w:left w:val="single" w:sz="8" w:color="auto"/>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One Earth Energy, LLC</w:t>
            </w:r>
          </w:p>
        </w:tc>
        <w:tc>
          <w:tcPr>
            <w:tcW w:w="1840" w:type="dxa"/>
            <w:vAlign w:val="bottom"/>
            <w:tcBorders>
              <w:bottom w:val="single" w:sz="8" w:color="auto"/>
              <w:right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140.0 M</w:t>
            </w:r>
          </w:p>
        </w:tc>
        <w:tc>
          <w:tcPr>
            <w:tcW w:w="14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75.2%</w:t>
            </w:r>
          </w:p>
        </w:tc>
        <w:tc>
          <w:tcPr>
            <w:tcW w:w="2260" w:type="dxa"/>
            <w:vAlign w:val="bottom"/>
            <w:tcBorders>
              <w:bottom w:val="single" w:sz="8" w:color="auto"/>
              <w:right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105.3 M</w:t>
            </w:r>
          </w:p>
        </w:tc>
      </w:tr>
      <w:tr>
        <w:trPr>
          <w:trHeight w:val="237"/>
        </w:trPr>
        <w:tc>
          <w:tcPr>
            <w:tcW w:w="5840" w:type="dxa"/>
            <w:vAlign w:val="bottom"/>
            <w:tcBorders>
              <w:left w:val="single" w:sz="8" w:color="auto"/>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NuGen Energy, LLC</w:t>
            </w:r>
          </w:p>
        </w:tc>
        <w:tc>
          <w:tcPr>
            <w:tcW w:w="1840" w:type="dxa"/>
            <w:vAlign w:val="bottom"/>
            <w:tcBorders>
              <w:bottom w:val="single" w:sz="8" w:color="auto"/>
              <w:right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101.9 M</w:t>
            </w:r>
          </w:p>
        </w:tc>
        <w:tc>
          <w:tcPr>
            <w:tcW w:w="14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99.5%</w:t>
            </w:r>
          </w:p>
        </w:tc>
        <w:tc>
          <w:tcPr>
            <w:tcW w:w="2260" w:type="dxa"/>
            <w:vAlign w:val="bottom"/>
            <w:tcBorders>
              <w:bottom w:val="single" w:sz="8" w:color="auto"/>
              <w:right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101.4 M</w:t>
            </w:r>
          </w:p>
        </w:tc>
      </w:tr>
      <w:tr>
        <w:trPr>
          <w:trHeight w:val="215"/>
        </w:trPr>
        <w:tc>
          <w:tcPr>
            <w:tcW w:w="5840" w:type="dxa"/>
            <w:vAlign w:val="bottom"/>
            <w:tcBorders>
              <w:left w:val="single" w:sz="8" w:color="auto"/>
              <w:right w:val="single" w:sz="8" w:color="auto"/>
            </w:tcBorders>
          </w:tcPr>
          <w:p>
            <w:pPr>
              <w:ind w:left="200"/>
              <w:spacing w:after="0" w:line="216" w:lineRule="exact"/>
              <w:rPr>
                <w:sz w:val="20"/>
                <w:szCs w:val="20"/>
                <w:color w:val="auto"/>
              </w:rPr>
            </w:pPr>
            <w:r>
              <w:rPr>
                <w:rFonts w:ascii="Arial" w:cs="Arial" w:eastAsia="Arial" w:hAnsi="Arial"/>
                <w:sz w:val="22"/>
                <w:szCs w:val="22"/>
                <w:color w:val="auto"/>
              </w:rPr>
              <w:t>Big River Resources, LLC:</w:t>
            </w:r>
          </w:p>
        </w:tc>
        <w:tc>
          <w:tcPr>
            <w:tcW w:w="15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r>
      <w:tr>
        <w:trPr>
          <w:trHeight w:val="243"/>
        </w:trPr>
        <w:tc>
          <w:tcPr>
            <w:tcW w:w="5840" w:type="dxa"/>
            <w:vAlign w:val="bottom"/>
            <w:tcBorders>
              <w:left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Big River Resources W Burlington, LLC</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111.4</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M</w:t>
            </w:r>
          </w:p>
        </w:tc>
        <w:tc>
          <w:tcPr>
            <w:tcW w:w="148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M</w:t>
            </w:r>
          </w:p>
        </w:tc>
      </w:tr>
      <w:tr>
        <w:trPr>
          <w:trHeight w:val="243"/>
        </w:trPr>
        <w:tc>
          <w:tcPr>
            <w:tcW w:w="5840" w:type="dxa"/>
            <w:vAlign w:val="bottom"/>
            <w:tcBorders>
              <w:left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Big River Resources Galva, LLC</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126.7</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M</w:t>
            </w:r>
          </w:p>
        </w:tc>
        <w:tc>
          <w:tcPr>
            <w:tcW w:w="148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M</w:t>
            </w:r>
          </w:p>
        </w:tc>
      </w:tr>
      <w:tr>
        <w:trPr>
          <w:trHeight w:val="243"/>
        </w:trPr>
        <w:tc>
          <w:tcPr>
            <w:tcW w:w="5840" w:type="dxa"/>
            <w:vAlign w:val="bottom"/>
            <w:tcBorders>
              <w:left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Big River United Energy, LLC</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132.6</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M</w:t>
            </w:r>
          </w:p>
        </w:tc>
        <w:tc>
          <w:tcPr>
            <w:tcW w:w="148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5.7%</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3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M</w:t>
            </w:r>
          </w:p>
        </w:tc>
      </w:tr>
      <w:tr>
        <w:trPr>
          <w:trHeight w:val="265"/>
        </w:trPr>
        <w:tc>
          <w:tcPr>
            <w:tcW w:w="584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Big River Resources Boyceville, LLC</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59.0</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M</w:t>
            </w:r>
          </w:p>
        </w:tc>
        <w:tc>
          <w:tcPr>
            <w:tcW w:w="14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M</w:t>
            </w:r>
          </w:p>
        </w:tc>
      </w:tr>
      <w:tr>
        <w:trPr>
          <w:trHeight w:val="237"/>
        </w:trPr>
        <w:tc>
          <w:tcPr>
            <w:tcW w:w="5840" w:type="dxa"/>
            <w:vAlign w:val="bottom"/>
            <w:tcBorders>
              <w:left w:val="single" w:sz="8" w:color="auto"/>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Total</w:t>
            </w:r>
          </w:p>
        </w:tc>
        <w:tc>
          <w:tcPr>
            <w:tcW w:w="15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671.6</w:t>
            </w:r>
          </w:p>
        </w:tc>
        <w:tc>
          <w:tcPr>
            <w:tcW w:w="32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M</w:t>
            </w:r>
          </w:p>
        </w:tc>
        <w:tc>
          <w:tcPr>
            <w:tcW w:w="14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245.0</w:t>
            </w:r>
          </w:p>
        </w:tc>
        <w:tc>
          <w:tcPr>
            <w:tcW w:w="32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M</w:t>
            </w:r>
          </w:p>
        </w:tc>
      </w:tr>
    </w:tbl>
    <w:p>
      <w:pPr>
        <w:spacing w:after="0" w:line="222"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and foreign trade. Because the market price of ethanol is not always directly related to corn prices (for example, crude and other energy prices, the export market demand for ethanol and the results of federal policy decisions and trade negotiations can impact ethanol prices), at times ethanol prices may not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4" w:name="page25"/>
    <w:bookmarkEnd w:id="24"/>
    <w:p>
      <w:pPr>
        <w:ind w:right="320"/>
        <w:spacing w:after="0" w:line="328" w:lineRule="auto"/>
        <w:rPr>
          <w:sz w:val="20"/>
          <w:szCs w:val="20"/>
          <w:color w:val="auto"/>
        </w:rPr>
      </w:pPr>
      <w:r>
        <w:rPr>
          <w:rFonts w:ascii="Arial" w:cs="Arial" w:eastAsia="Arial" w:hAnsi="Arial"/>
          <w:sz w:val="19"/>
          <w:szCs w:val="19"/>
          <w:color w:val="auto"/>
        </w:rPr>
        <w:t>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13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9"/>
          <w:szCs w:val="19"/>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$7.17 per ton of refined coal produced and sold during calendar year 2019.</w:t>
      </w:r>
    </w:p>
    <w:p>
      <w:pPr>
        <w:spacing w:after="0" w:line="18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The refined coal facility is located at the site of a utility-owned electrical generating power station, which is our refined coal operation’s sole customer. We expect future period refined coal production and sales amounts to vary depending on fluctuations in demand from the site host utility, which generally changes based upon weather conditions in the geographic markets the utility serves and competing fuel prices and supplies. We have contracted with an experienced third party to operate and maintain the refined coal facility and to provide us with management reporting and operating data as required. We do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not have any employees on site at the refined coal facility.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21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pilot field tests and equipment purchases with respect to the proposed commercialization stage of the technology. To date, we have paid approximately $2.2 million cumulatively primarily for patents, purchases of certain equipment and other expenses. We have not yet tested or proven the commercial feasibility of the technology.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During the three months ended October 31, 2019, we did not change any of our critical accounting policies as disclosed in our 2018 Annual Report on Form 10-K as filed with the Securities and Exchange Commission on March 29, 2019.</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200" w:firstLine="648"/>
        <w:spacing w:after="0" w:line="251"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2019” means the period February 1, 2019 to January 31, 2020.</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right="300" w:firstLine="648"/>
        <w:spacing w:after="0" w:line="251" w:lineRule="auto"/>
        <w:rPr>
          <w:sz w:val="20"/>
          <w:szCs w:val="20"/>
          <w:color w:val="auto"/>
        </w:rPr>
      </w:pPr>
      <w:r>
        <w:rPr>
          <w:rFonts w:ascii="Arial" w:cs="Arial" w:eastAsia="Arial" w:hAnsi="Arial"/>
          <w:sz w:val="22"/>
          <w:szCs w:val="22"/>
          <w:color w:val="auto"/>
        </w:rPr>
        <w:t>For a detailed analysis of period to period changes, see the segment discussion that follows this section as that discussion reflects how management views and monitors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During fiscal year 2019, operating results in our ethanol and by-products segment have been adversely affected by a weak margin environment highlighted by higher costs for corn, lower availability of local corn and resulting reductions in plant production volumes. Weather conditions delayed the planting of corn in much of the United States, and there continues to be uncertainty regarding the availability of corn on a regional basis. Through the first nine months of fiscal year 2019, we have struggled to obtain adequate supplies of corn, on a consistent basis, at acceptable price levels. Consequently, we have not been able to operate our NuGen ethanol plant at production levels near our historical averages. We cannot reasonably predict the likelihood of future period production levels compared to historical averages.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 w:name="page27"/>
    <w:bookmarkEnd w:id="26"/>
    <w:p>
      <w:pPr>
        <w:ind w:right="40" w:firstLine="648"/>
        <w:spacing w:after="0" w:line="245" w:lineRule="auto"/>
        <w:rPr>
          <w:sz w:val="20"/>
          <w:szCs w:val="20"/>
          <w:color w:val="auto"/>
        </w:rPr>
      </w:pPr>
      <w:r>
        <w:rPr>
          <w:rFonts w:ascii="Arial" w:cs="Arial" w:eastAsia="Arial" w:hAnsi="Arial"/>
          <w:sz w:val="21"/>
          <w:szCs w:val="21"/>
          <w:color w:val="auto"/>
        </w:rPr>
        <w:t>Under the U.S. Renewable Fuel Standard (“RFS”), the Environmental Protection Agency (“EPA”) assigns individual refiners, blenders and importers the volume of renewable fuels they are obligated to use based on their percentage of total domestic transportation fuel sales. The EPA can waive the obligation for individual small refineries that are experiencing “disproportionate economic hardship” due to compliance with the RFS. Until recent years, the EPA approved relatively few such waivers. The EPA has approved 31 small-refinery exemptions from their 2018 Renewable Fuel Standard compliance obligations, which is estimated to effectively reduce the obligation for ethanol in 2018 by 1.4 billion gallons. The EPA previously granted waivers for 2016 and 2017 totaling approximately 2.6 billion gallons. These actions affect current year demand as obligated parties such as refiners can use the waivers granted by the EPA to help them meet their obligations in different years. There continues to be uncertainty regarding how the EPA will administer the small refiner waivers for 2019. We believe the waivers have resulted in reduced domestic ethanol demand.</w:t>
      </w:r>
    </w:p>
    <w:p>
      <w:pPr>
        <w:spacing w:after="0" w:line="20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During fiscal year 2019, operating results in our refined coal segment have been adversely affected by lower utility plant demand (our only customer). Projections, provided by the utility plant, for the next twelve months indicate this trend may continue. While this leads to lower pre-tax loss amounts from this segment, it also leads to lower tax benefits from Section 45 credits being recognized. Ultimately, this results in lower amounts of segment profit.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Should these trends and uncertainties continue, our future operating results are likely to be negatively impacted.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and Nine Months Ended October 31, 2019 and 2018</w:t>
      </w:r>
    </w:p>
    <w:p>
      <w:pPr>
        <w:spacing w:after="0" w:line="23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Net sales and revenue in the quarter ended October 31, 2019 were approximately $86.7 million compared to approximately $123.8 million in the prior year’s third quarter, representing a decrease of approximately $37.1 million, which was primarily caused by lower sales in our ethanol and by-products segment of approximately $36.9 million. Net sales and revenue in the first nine months of fiscal year 2019 were approximately $297.1 million compared to approximately $373.3 million in the first nine months of fiscal year 2018, representing a decrease of approximately $76.2 million, which was primarily caused by lower sales in our ethanol and by-products segment of approximately $75.9 million. The decline in ethanol and by-products segment net sales and revenue reflects significantly lower production volumes incurred during fiscal year 2019. This relates primarily to operations at NuGen, as weather related logistical delays and diminished local availability of corn negatively impacted production levels.</w:t>
      </w:r>
    </w:p>
    <w:p>
      <w:pPr>
        <w:spacing w:after="0" w:line="185"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Gross loss for the third quarter of fiscal year 2019 was approximately $1.8 million (2.0% of net sales and revenue) which was approximately $9.5 million lower compared to gross profit of approximately $7.7 million of gross profit (6.3% of net sales and revenue) for the third quarter of fiscal year 2018. Gross profit for the third quarter of fiscal year 2019 decreased by approximately $11.2 million compared to the prior year third quarter as a result of operations in the ethanol and by-products segment. Gross loss in the refined coal segment was $1.8 million in the third quarter of fiscal year 2019 compared to $3.5 million in the third quarter of fiscal year 2018. Gross profit for the first nine months of fiscal year 2019 was approximately $5.9 million (2.0% of net sales and revenue) which was approximately $22.1 million lower compared to approximately $28.0 million (7.5% of net sales and revenue) for the first nine months of fiscal year 2018. Gross profit for the first nine months of fiscal year 2019 decreased by approximately $26.2 million compared to the first nine months of fiscal year 2018 as a result of operations in the ethanol and by-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products segment and increased by approximately $4.1 million as a result of operations in the refined coal segment.</w:t>
      </w:r>
    </w:p>
    <w:p>
      <w:pPr>
        <w:spacing w:after="0" w:line="233"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SG&amp;A expenses were approximately $4.1 million for the third quarter of fiscal year 2019, which was approximately $1.3 million lower compared to approximately $5.4 million for the third quarter of fiscal year 2018. SG&amp;A expenses were approximately $13.6 million for the first nine months of fiscal year 2019, which was approximately $2.5 million lower compared to approximately $16.1 million for the first nine months of fiscal year 2018. Both the quarterly and year to date decreases were primarily related to a decrease in incentive compensation expense associated with lower profitability in fiscal year 2019 and a decrease in commission expense related to the refined coal acquisition.</w:t>
      </w:r>
    </w:p>
    <w:p>
      <w:pPr>
        <w:spacing w:after="0" w:line="204"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During the third quarter of fiscal year 2019, we recognized a loss of approximately $15,000 compared to income of approximately $611,000 for the third quarter of fiscal year 2018, from our equity investment in Big River, which is included in our ethanol and by-products segment results. Such income was approximately $350,000 and approximately $2,182,000 during the first nine months of fiscal year 2019 and 2018, respectively. Big River has interests in four ethanol production plants that shipped approximately 430 million gallons in the trailing twelve months ended October 31, 2019 and has an effective ownership of ethanol gallons shipped for the same period of approximately 370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208"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Interest and other income was approximately $1.0 million for the third quarter of fiscal year 2019 versus approximately $0.8 million for the third quarter of fiscal year 2018. Interest and other income was approximately $3.4 million for the first nine months of fiscal year 2019 versus approximately $2.2 million for the first nine months of fiscal year 2018. Income has increased as yields on our excess cash improved compared to fiscal year 2018 and excess cash investment balances increased in fiscal year 2019.</w:t>
      </w:r>
    </w:p>
    <w:p>
      <w:pPr>
        <w:spacing w:after="0" w:line="215"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As a result of the foregoing, loss before income taxes was approximately $4.9 million for the third quarter of fiscal year 2019 versus income of approximately $3.8 million for the third quarter of fiscal year 2018. Loss before income taxes was approximately $4.0 million for the first nine months of fiscal year 2019 versus income of approximately $16.3 million for the first nine months of fiscal year 2018.</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Historically, we recorded our interim tax provision or benefit for income taxes including the three and nine months ended October 31, 2018, by applying an estimate of the annual effective tax rate for the full fiscal year to “ordinary” income or loss (pre-tax income or loss excluding unusual or infrequently occurring discrete items) for the reporting period. We determined that since small changes in estimated “ordinary” income would result in significant changes in the estimated annual effective tax rate, the historical method would not provide a reliable estimate for the three and nine months ended October 31, 2019. Thus, we used a discrete effective tax rate method to calculate the provision or benefit for income taxes for the three and nine months ended October 31, 2019. Our tax benefit was approximately 65.9% and approximately 266.7% for the three months ended October 31, 2019 and 2018, respectively, and was approximately 234.7% and approximately 112.8% for the first nine months of fiscal years 2019 and 2018, respectively. The fluctuation in the rate results primarily from the production tax credits we expect to receive associated with our refined coal segment relative to pre-tax income or loss.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8" w:name="page29"/>
    <w:bookmarkEnd w:id="28"/>
    <w:p>
      <w:pPr>
        <w:ind w:right="40" w:firstLine="648"/>
        <w:spacing w:after="0" w:line="297" w:lineRule="auto"/>
        <w:rPr>
          <w:sz w:val="20"/>
          <w:szCs w:val="20"/>
          <w:color w:val="auto"/>
        </w:rPr>
      </w:pPr>
      <w:r>
        <w:rPr>
          <w:rFonts w:ascii="Arial" w:cs="Arial" w:eastAsia="Arial" w:hAnsi="Arial"/>
          <w:sz w:val="19"/>
          <w:szCs w:val="19"/>
          <w:color w:val="auto"/>
        </w:rPr>
        <w:t>As a result of the foregoing, net loss was approximately $1.7 million for the third quarter of fiscal year 2019 compared to net income of approximately $13.8 million for the third quarter of fiscal year 2018. Net income was approximately $5.4 million for the first nine months of fiscal year 2019 compared to approximately $34.6 million for the first nine months of fiscal year 2018.</w:t>
      </w:r>
    </w:p>
    <w:p>
      <w:pPr>
        <w:spacing w:after="0" w:line="161"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Income related to noncontrolling interests was approximately $0.4 million and approximately $1.9 million during the third quarters of fiscal years 2019 and 2018, respectively, and was approximately $2.4 million and approximately $4.0 million during the first nine months of fiscal years 2019 and 2018, respectively. These amounts represent the other owners’ share of the income or loss of NuGen, One Earth, the refined coal entity and Future Energy.</w:t>
      </w:r>
    </w:p>
    <w:p>
      <w:pPr>
        <w:spacing w:after="0" w:line="201"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As a result of the foregoing, net loss attributable to REX common shareholders for the third quarter of fiscal year 2019 was approximately $2.1 million, a decrease of approximately $13.9 million from net income attributable to REX common shareholders of approximately $11.9 million for the third quarter of fiscal year 2018. Net income attributable to REX common shareholders for the first nine months of fiscal year 2019 was approximately $3.0 million, a decrease of approximately $27.6 million from approximately $30.6 million for the first nine months of fiscal year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 Results</w:t>
      </w:r>
    </w:p>
    <w:p>
      <w:pPr>
        <w:spacing w:after="0" w:line="239"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We have two reportable segments: i) ethanol and by-products; and ii) refined coal. We evaluate the performance of each reportable segment based on segment profit. Segment profit excludes indirect interest income and certain other items that are included in net income determined in accordance with accounting principles generally accepted in the United States of America. Segment profit includes realized and unrealized gains and losses on derivative financial instruments and the provision/benefit for income taxes.</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sections discuss the results of operations for each of our business segments and corporate and other. Amounts in the corporate and other category include activities that are not separately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9" w:name="page30"/>
    <w:bookmarkEnd w:id="29"/>
    <w:p>
      <w:pPr>
        <w:spacing w:after="0"/>
        <w:rPr>
          <w:sz w:val="20"/>
          <w:szCs w:val="20"/>
          <w:color w:val="auto"/>
        </w:rPr>
      </w:pPr>
      <w:r>
        <w:rPr>
          <w:rFonts w:ascii="Arial" w:cs="Arial" w:eastAsia="Arial" w:hAnsi="Arial"/>
          <w:sz w:val="21"/>
          <w:szCs w:val="21"/>
          <w:color w:val="auto"/>
        </w:rPr>
        <w:t>reportable or related to a segment. The following tables summarizes segment and other results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tcPr>
          <w:p>
            <w:pPr>
              <w:spacing w:after="0"/>
              <w:rPr>
                <w:sz w:val="21"/>
                <w:szCs w:val="21"/>
                <w:color w:val="auto"/>
              </w:rPr>
            </w:pPr>
          </w:p>
        </w:tc>
        <w:tc>
          <w:tcPr>
            <w:tcW w:w="2480" w:type="dxa"/>
            <w:vAlign w:val="bottom"/>
            <w:gridSpan w:val="6"/>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160" w:type="dxa"/>
            <w:vAlign w:val="bottom"/>
          </w:tcPr>
          <w:p>
            <w:pPr>
              <w:spacing w:after="0"/>
              <w:rPr>
                <w:sz w:val="21"/>
                <w:szCs w:val="21"/>
                <w:color w:val="auto"/>
              </w:rPr>
            </w:pPr>
          </w:p>
        </w:tc>
        <w:tc>
          <w:tcPr>
            <w:tcW w:w="2180" w:type="dxa"/>
            <w:vAlign w:val="bottom"/>
            <w:gridSpan w:val="5"/>
          </w:tcPr>
          <w:p>
            <w:pPr>
              <w:jc w:val="center"/>
              <w:ind w:right="260"/>
              <w:spacing w:after="0"/>
              <w:rPr>
                <w:sz w:val="20"/>
                <w:szCs w:val="20"/>
                <w:color w:val="auto"/>
              </w:rPr>
            </w:pPr>
            <w:r>
              <w:rPr>
                <w:rFonts w:ascii="Arial" w:cs="Arial" w:eastAsia="Arial" w:hAnsi="Arial"/>
                <w:sz w:val="22"/>
                <w:szCs w:val="22"/>
                <w:b w:val="1"/>
                <w:bCs w:val="1"/>
                <w:color w:val="auto"/>
                <w:w w:val="89"/>
              </w:rPr>
              <w:t>Nine Months Ended</w:t>
            </w:r>
          </w:p>
        </w:tc>
      </w:tr>
      <w:tr>
        <w:trPr>
          <w:trHeight w:val="243"/>
        </w:trPr>
        <w:tc>
          <w:tcPr>
            <w:tcW w:w="5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jc w:val="center"/>
              <w:ind w:right="520"/>
              <w:spacing w:after="0" w:line="243" w:lineRule="exact"/>
              <w:rPr>
                <w:sz w:val="20"/>
                <w:szCs w:val="20"/>
                <w:color w:val="auto"/>
              </w:rPr>
            </w:pPr>
            <w:r>
              <w:rPr>
                <w:rFonts w:ascii="Arial" w:cs="Arial" w:eastAsia="Arial" w:hAnsi="Arial"/>
                <w:sz w:val="22"/>
                <w:szCs w:val="22"/>
                <w:b w:val="1"/>
                <w:bCs w:val="1"/>
                <w:color w:val="auto"/>
                <w:w w:val="89"/>
              </w:rPr>
              <w:t>October 31,</w:t>
            </w:r>
          </w:p>
        </w:tc>
        <w:tc>
          <w:tcPr>
            <w:tcW w:w="160" w:type="dxa"/>
            <w:vAlign w:val="bottom"/>
          </w:tcPr>
          <w:p>
            <w:pPr>
              <w:spacing w:after="0"/>
              <w:rPr>
                <w:sz w:val="21"/>
                <w:szCs w:val="21"/>
                <w:color w:val="auto"/>
              </w:rPr>
            </w:pPr>
          </w:p>
        </w:tc>
        <w:tc>
          <w:tcPr>
            <w:tcW w:w="2180" w:type="dxa"/>
            <w:vAlign w:val="bottom"/>
            <w:gridSpan w:val="5"/>
          </w:tcPr>
          <w:p>
            <w:pPr>
              <w:jc w:val="center"/>
              <w:ind w:right="260"/>
              <w:spacing w:after="0" w:line="243" w:lineRule="exact"/>
              <w:rPr>
                <w:sz w:val="20"/>
                <w:szCs w:val="20"/>
                <w:color w:val="auto"/>
              </w:rPr>
            </w:pPr>
            <w:r>
              <w:rPr>
                <w:rFonts w:ascii="Arial" w:cs="Arial" w:eastAsia="Arial" w:hAnsi="Arial"/>
                <w:sz w:val="22"/>
                <w:szCs w:val="22"/>
                <w:b w:val="1"/>
                <w:bCs w:val="1"/>
                <w:color w:val="auto"/>
                <w:w w:val="89"/>
              </w:rPr>
              <w:t>October 31,</w:t>
            </w:r>
          </w:p>
        </w:tc>
      </w:tr>
      <w:tr>
        <w:trPr>
          <w:trHeight w:val="271"/>
        </w:trPr>
        <w:tc>
          <w:tcPr>
            <w:tcW w:w="5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12"/>
              <w:spacing w:after="0"/>
              <w:rPr>
                <w:sz w:val="20"/>
                <w:szCs w:val="20"/>
                <w:color w:val="auto"/>
              </w:rPr>
            </w:pPr>
            <w:r>
              <w:rPr>
                <w:rFonts w:ascii="Arial" w:cs="Arial" w:eastAsia="Arial" w:hAnsi="Arial"/>
                <w:sz w:val="22"/>
                <w:szCs w:val="22"/>
                <w:b w:val="1"/>
                <w:bCs w:val="1"/>
                <w:color w:val="auto"/>
                <w:w w:val="93"/>
              </w:rPr>
              <w:t>2019</w:t>
            </w:r>
          </w:p>
        </w:tc>
        <w:tc>
          <w:tcPr>
            <w:tcW w:w="200" w:type="dxa"/>
            <w:vAlign w:val="bottom"/>
          </w:tcPr>
          <w:p>
            <w:pPr>
              <w:spacing w:after="0"/>
              <w:rPr>
                <w:sz w:val="23"/>
                <w:szCs w:val="23"/>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22"/>
                <w:szCs w:val="22"/>
                <w:b w:val="1"/>
                <w:bCs w:val="1"/>
                <w:color w:val="auto"/>
              </w:rPr>
              <w:t>2018</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32"/>
              <w:spacing w:after="0"/>
              <w:rPr>
                <w:sz w:val="20"/>
                <w:szCs w:val="20"/>
                <w:color w:val="auto"/>
              </w:rPr>
            </w:pPr>
            <w:r>
              <w:rPr>
                <w:rFonts w:ascii="Arial" w:cs="Arial" w:eastAsia="Arial" w:hAnsi="Arial"/>
                <w:sz w:val="22"/>
                <w:szCs w:val="22"/>
                <w:b w:val="1"/>
                <w:bCs w:val="1"/>
                <w:color w:val="auto"/>
              </w:rPr>
              <w:t>2019</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3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r>
      <w:tr>
        <w:trPr>
          <w:trHeight w:val="237"/>
        </w:trPr>
        <w:tc>
          <w:tcPr>
            <w:tcW w:w="54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spacing w:after="0"/>
              <w:rPr>
                <w:sz w:val="20"/>
                <w:szCs w:val="20"/>
                <w:color w:val="auto"/>
              </w:rPr>
            </w:pPr>
          </w:p>
        </w:tc>
        <w:tc>
          <w:tcPr>
            <w:tcW w:w="20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spacing w:after="0"/>
              <w:rPr>
                <w:sz w:val="20"/>
                <w:szCs w:val="20"/>
                <w:color w:val="auto"/>
              </w:rPr>
            </w:pPr>
          </w:p>
        </w:tc>
        <w:tc>
          <w:tcPr>
            <w:tcW w:w="38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shd w:val="clear" w:color="auto" w:fill="E5FFFF"/>
          </w:tcPr>
          <w:p>
            <w:pPr>
              <w:spacing w:after="0"/>
              <w:rPr>
                <w:sz w:val="20"/>
                <w:szCs w:val="20"/>
                <w:color w:val="auto"/>
              </w:rPr>
            </w:pPr>
          </w:p>
        </w:tc>
        <w:tc>
          <w:tcPr>
            <w:tcW w:w="40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E5FFFF"/>
            </w:tcBorders>
            <w:shd w:val="clear" w:color="auto" w:fill="E5FFFF"/>
          </w:tcPr>
          <w:p>
            <w:pPr>
              <w:spacing w:after="0"/>
              <w:rPr>
                <w:sz w:val="20"/>
                <w:szCs w:val="20"/>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86,603</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$123,546</w:t>
            </w:r>
          </w:p>
        </w:tc>
        <w:tc>
          <w:tcPr>
            <w:tcW w:w="38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w w:val="93"/>
              </w:rPr>
              <w:t>296,826</w:t>
            </w:r>
          </w:p>
        </w:tc>
        <w:tc>
          <w:tcPr>
            <w:tcW w:w="4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w w:val="93"/>
              </w:rPr>
              <w:t>372,717</w:t>
            </w:r>
          </w:p>
        </w:tc>
        <w:tc>
          <w:tcPr>
            <w:tcW w:w="100" w:type="dxa"/>
            <w:vAlign w:val="bottom"/>
          </w:tcPr>
          <w:p>
            <w:pPr>
              <w:spacing w:after="0"/>
              <w:rPr>
                <w:sz w:val="21"/>
                <w:szCs w:val="21"/>
                <w:color w:val="auto"/>
              </w:rPr>
            </w:pPr>
          </w:p>
        </w:tc>
      </w:tr>
      <w:tr>
        <w:trPr>
          <w:trHeight w:val="297"/>
        </w:trPr>
        <w:tc>
          <w:tcPr>
            <w:tcW w:w="5460" w:type="dxa"/>
            <w:vAlign w:val="bottom"/>
            <w:shd w:val="clear" w:color="auto" w:fill="E5FFFF"/>
          </w:tcPr>
          <w:p>
            <w:pPr>
              <w:spacing w:after="0" w:line="297" w:lineRule="exact"/>
              <w:rPr>
                <w:sz w:val="20"/>
                <w:szCs w:val="20"/>
                <w:color w:val="auto"/>
              </w:rPr>
            </w:pPr>
            <w:r>
              <w:rPr>
                <w:rFonts w:ascii="Arial" w:cs="Arial" w:eastAsia="Arial" w:hAnsi="Arial"/>
                <w:sz w:val="21"/>
                <w:szCs w:val="21"/>
                <w:color w:val="auto"/>
              </w:rPr>
              <w:t xml:space="preserve">Refined coal </w:t>
            </w:r>
            <w:r>
              <w:rPr>
                <w:rFonts w:ascii="Arial" w:cs="Arial" w:eastAsia="Arial" w:hAnsi="Arial"/>
                <w:sz w:val="34"/>
                <w:szCs w:val="34"/>
                <w:color w:val="auto"/>
                <w:vertAlign w:val="superscript"/>
              </w:rPr>
              <w:t>1</w:t>
            </w:r>
          </w:p>
        </w:tc>
        <w:tc>
          <w:tcPr>
            <w:tcW w:w="160" w:type="dxa"/>
            <w:vAlign w:val="bottom"/>
            <w:shd w:val="clear" w:color="auto" w:fill="E5FFFF"/>
          </w:tcPr>
          <w:p>
            <w:pPr>
              <w:spacing w:after="0"/>
              <w:rPr>
                <w:sz w:val="24"/>
                <w:szCs w:val="24"/>
                <w:color w:val="auto"/>
              </w:rPr>
            </w:pPr>
          </w:p>
        </w:tc>
        <w:tc>
          <w:tcPr>
            <w:tcW w:w="900" w:type="dxa"/>
            <w:vAlign w:val="bottom"/>
            <w:gridSpan w:val="2"/>
            <w:shd w:val="clear" w:color="auto" w:fill="E5FFFF"/>
          </w:tcPr>
          <w:p>
            <w:pPr>
              <w:jc w:val="right"/>
              <w:ind w:right="200"/>
              <w:spacing w:after="0"/>
              <w:rPr>
                <w:sz w:val="20"/>
                <w:szCs w:val="20"/>
                <w:color w:val="auto"/>
              </w:rPr>
            </w:pPr>
            <w:r>
              <w:rPr>
                <w:rFonts w:ascii="Arial" w:cs="Arial" w:eastAsia="Arial" w:hAnsi="Arial"/>
                <w:sz w:val="22"/>
                <w:szCs w:val="22"/>
                <w:color w:val="auto"/>
              </w:rPr>
              <w:t>68</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204</w:t>
            </w:r>
          </w:p>
        </w:tc>
        <w:tc>
          <w:tcPr>
            <w:tcW w:w="38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288</w:t>
            </w:r>
          </w:p>
        </w:tc>
        <w:tc>
          <w:tcPr>
            <w:tcW w:w="4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610</w:t>
            </w:r>
          </w:p>
        </w:tc>
        <w:tc>
          <w:tcPr>
            <w:tcW w:w="100" w:type="dxa"/>
            <w:vAlign w:val="bottom"/>
            <w:shd w:val="clear" w:color="auto" w:fill="E5FFFF"/>
          </w:tcPr>
          <w:p>
            <w:pPr>
              <w:spacing w:after="0"/>
              <w:rPr>
                <w:sz w:val="24"/>
                <w:szCs w:val="24"/>
                <w:color w:val="auto"/>
              </w:rPr>
            </w:pPr>
          </w:p>
        </w:tc>
      </w:tr>
      <w:tr>
        <w:trPr>
          <w:trHeight w:val="237"/>
        </w:trPr>
        <w:tc>
          <w:tcPr>
            <w:tcW w:w="5460" w:type="dxa"/>
            <w:vAlign w:val="bottom"/>
          </w:tcPr>
          <w:p>
            <w:pPr>
              <w:spacing w:after="0" w:line="237" w:lineRule="exact"/>
              <w:rPr>
                <w:sz w:val="20"/>
                <w:szCs w:val="20"/>
                <w:color w:val="auto"/>
              </w:rPr>
            </w:pPr>
            <w:r>
              <w:rPr>
                <w:rFonts w:ascii="Arial" w:cs="Arial" w:eastAsia="Arial" w:hAnsi="Arial"/>
                <w:sz w:val="22"/>
                <w:szCs w:val="22"/>
                <w:color w:val="auto"/>
              </w:rPr>
              <w:t>Total net sales and revenue</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86,671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123,750</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3"/>
              </w:rPr>
              <w:t>297,114</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3"/>
              </w:rPr>
              <w:t>373,327</w:t>
            </w:r>
          </w:p>
        </w:tc>
        <w:tc>
          <w:tcPr>
            <w:tcW w:w="10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328"/>
        <w:spacing w:after="0" w:line="25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40" w:type="dxa"/>
            <w:vAlign w:val="bottom"/>
            <w:shd w:val="clear" w:color="auto" w:fill="E5FFFF"/>
          </w:tcPr>
          <w:p>
            <w:pPr>
              <w:spacing w:after="0"/>
              <w:rPr>
                <w:sz w:val="20"/>
                <w:szCs w:val="20"/>
                <w:color w:val="auto"/>
              </w:rPr>
            </w:pPr>
            <w:r>
              <w:rPr>
                <w:rFonts w:ascii="Arial" w:cs="Arial" w:eastAsia="Arial" w:hAnsi="Arial"/>
                <w:sz w:val="22"/>
                <w:szCs w:val="22"/>
                <w:color w:val="auto"/>
              </w:rPr>
              <w:t>Segment gross (loss)profit:</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28</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w w:val="98"/>
              </w:rPr>
              <w:t>11,260</w:t>
            </w:r>
          </w:p>
        </w:tc>
        <w:tc>
          <w:tcPr>
            <w:tcW w:w="38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12,312</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38,475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w w:val="97"/>
              </w:rPr>
              <w:t>(1,786)</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(3,513)</w:t>
            </w: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(6,420)</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(10,478)</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line="237" w:lineRule="exact"/>
              <w:rPr>
                <w:sz w:val="20"/>
                <w:szCs w:val="20"/>
                <w:color w:val="auto"/>
              </w:rPr>
            </w:pPr>
            <w:r>
              <w:rPr>
                <w:rFonts w:ascii="Arial" w:cs="Arial" w:eastAsia="Arial" w:hAnsi="Arial"/>
                <w:sz w:val="22"/>
                <w:szCs w:val="22"/>
                <w:color w:val="auto"/>
              </w:rPr>
              <w:t>Total gross (loss) profit</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7"/>
              </w:rPr>
              <w:t>(1,758)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7,747</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5,892</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27,997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(Loss) income before income taxes:</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w w:val="97"/>
              </w:rPr>
              <w:t>(2,822)</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8,405</w:t>
            </w:r>
          </w:p>
        </w:tc>
        <w:tc>
          <w:tcPr>
            <w:tcW w:w="38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3,491</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29,491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w w:val="97"/>
              </w:rPr>
              <w:t>(1,648)</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(4,240)</w:t>
            </w: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(6,351)</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2"/>
              </w:rPr>
              <w:t>(11,887)</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Corporate and other</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(410)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(1,146)</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(1,341)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(loss) income before income taxes</w:t>
            </w:r>
          </w:p>
        </w:tc>
        <w:tc>
          <w:tcPr>
            <w:tcW w:w="1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(4,904)</w:t>
            </w: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3,755</w:t>
            </w:r>
          </w:p>
        </w:tc>
        <w:tc>
          <w:tcPr>
            <w:tcW w:w="38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(4,006)</w:t>
            </w:r>
          </w:p>
        </w:tc>
        <w:tc>
          <w:tcPr>
            <w:tcW w:w="4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16,263</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22"/>
                <w:szCs w:val="22"/>
                <w:color w:val="auto"/>
              </w:rPr>
              <w:t>Benefit (provision) for income taxes:</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945</w:t>
            </w:r>
          </w:p>
        </w:tc>
        <w:tc>
          <w:tcPr>
            <w:tcW w:w="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1,643</w:t>
            </w: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(160)</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(1,806)</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2,181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8,318</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9,282</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19,914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Corporate and other</w:t>
            </w:r>
          </w:p>
        </w:tc>
        <w:tc>
          <w:tcPr>
            <w:tcW w:w="1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105</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53</w:t>
            </w: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279</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240</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line="237" w:lineRule="exact"/>
              <w:rPr>
                <w:sz w:val="20"/>
                <w:szCs w:val="20"/>
                <w:color w:val="auto"/>
              </w:rPr>
            </w:pPr>
            <w:r>
              <w:rPr>
                <w:rFonts w:ascii="Arial" w:cs="Arial" w:eastAsia="Arial" w:hAnsi="Arial"/>
                <w:sz w:val="22"/>
                <w:szCs w:val="22"/>
                <w:color w:val="auto"/>
              </w:rPr>
              <w:t>Total benefit for income taxes</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3,231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8"/>
              </w:rPr>
              <w:t>10,014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9,401</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Segment (loss)profit (net of noncontrolling interests):</w:t>
            </w: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w w:val="97"/>
              </w:rPr>
              <w:t>(2,330)</w:t>
            </w:r>
          </w:p>
        </w:tc>
        <w:tc>
          <w:tcPr>
            <w:tcW w:w="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7,946</w:t>
            </w:r>
          </w:p>
        </w:tc>
        <w:tc>
          <w:tcPr>
            <w:tcW w:w="38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684</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23,096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6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607</w:t>
            </w:r>
          </w:p>
        </w:tc>
        <w:tc>
          <w:tcPr>
            <w:tcW w:w="2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4,260</w:t>
            </w:r>
          </w:p>
        </w:tc>
        <w:tc>
          <w:tcPr>
            <w:tcW w:w="3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3,209</w:t>
            </w: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8,549</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Borders>
              <w:bottom w:val="single" w:sz="8" w:color="E5FFFF"/>
            </w:tcBorders>
          </w:tcPr>
          <w:p>
            <w:pPr>
              <w:spacing w:after="0" w:line="243" w:lineRule="exact"/>
              <w:rPr>
                <w:sz w:val="20"/>
                <w:szCs w:val="20"/>
                <w:color w:val="auto"/>
              </w:rPr>
            </w:pPr>
            <w:r>
              <w:rPr>
                <w:rFonts w:ascii="Arial" w:cs="Arial" w:eastAsia="Arial" w:hAnsi="Arial"/>
                <w:sz w:val="22"/>
                <w:szCs w:val="22"/>
                <w:color w:val="auto"/>
              </w:rPr>
              <w:t>Corporate and other</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(329)</w:t>
            </w:r>
          </w:p>
        </w:tc>
        <w:tc>
          <w:tcPr>
            <w:tcW w:w="200" w:type="dxa"/>
            <w:vAlign w:val="bottom"/>
            <w:tcBorders>
              <w:bottom w:val="single" w:sz="8" w:color="E5FFFF"/>
            </w:tcBorders>
          </w:tcPr>
          <w:p>
            <w:pPr>
              <w:spacing w:after="0"/>
              <w:rPr>
                <w:sz w:val="21"/>
                <w:szCs w:val="21"/>
                <w:color w:val="auto"/>
              </w:rPr>
            </w:pPr>
          </w:p>
        </w:tc>
        <w:tc>
          <w:tcPr>
            <w:tcW w:w="220" w:type="dxa"/>
            <w:vAlign w:val="bottom"/>
            <w:tcBorders>
              <w:bottom w:val="single" w:sz="8" w:color="E5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(331)</w:t>
            </w:r>
          </w:p>
        </w:tc>
        <w:tc>
          <w:tcPr>
            <w:tcW w:w="380" w:type="dxa"/>
            <w:vAlign w:val="bottom"/>
            <w:tcBorders>
              <w:bottom w:val="single" w:sz="8" w:color="E5FF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(868)</w:t>
            </w:r>
          </w:p>
        </w:tc>
        <w:tc>
          <w:tcPr>
            <w:tcW w:w="400" w:type="dxa"/>
            <w:vAlign w:val="bottom"/>
            <w:tcBorders>
              <w:bottom w:val="single" w:sz="8" w:color="E5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(1,057)</w:t>
            </w:r>
          </w:p>
        </w:tc>
        <w:tc>
          <w:tcPr>
            <w:tcW w:w="10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E5FFFF"/>
          </w:tcPr>
          <w:p>
            <w:pPr>
              <w:spacing w:after="0" w:line="202" w:lineRule="exact"/>
              <w:rPr>
                <w:sz w:val="20"/>
                <w:szCs w:val="20"/>
                <w:color w:val="auto"/>
              </w:rPr>
            </w:pPr>
            <w:r>
              <w:rPr>
                <w:rFonts w:ascii="Arial" w:cs="Arial" w:eastAsia="Arial" w:hAnsi="Arial"/>
                <w:sz w:val="22"/>
                <w:szCs w:val="22"/>
                <w:color w:val="auto"/>
              </w:rPr>
              <w:t>Net (loss) income attributable to REX common</w:t>
            </w:r>
          </w:p>
        </w:tc>
        <w:tc>
          <w:tcPr>
            <w:tcW w:w="160" w:type="dxa"/>
            <w:vAlign w:val="bottom"/>
            <w:vMerge w:val="restart"/>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22"/>
                <w:szCs w:val="22"/>
                <w:color w:val="auto"/>
                <w:w w:val="97"/>
              </w:rPr>
              <w:t>(2,052)</w:t>
            </w:r>
          </w:p>
        </w:tc>
        <w:tc>
          <w:tcPr>
            <w:tcW w:w="360" w:type="dxa"/>
            <w:vAlign w:val="bottom"/>
            <w:gridSpan w:val="2"/>
            <w:vMerge w:val="restart"/>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22"/>
                <w:szCs w:val="22"/>
                <w:color w:val="auto"/>
                <w:w w:val="98"/>
              </w:rPr>
              <w:t>11,875</w:t>
            </w:r>
          </w:p>
        </w:tc>
        <w:tc>
          <w:tcPr>
            <w:tcW w:w="380" w:type="dxa"/>
            <w:vAlign w:val="bottom"/>
            <w:shd w:val="clear" w:color="auto" w:fill="E5FFFF"/>
          </w:tcPr>
          <w:p>
            <w:pPr>
              <w:spacing w:after="0"/>
              <w:rPr>
                <w:sz w:val="17"/>
                <w:szCs w:val="17"/>
                <w:color w:val="auto"/>
              </w:rPr>
            </w:pPr>
          </w:p>
        </w:tc>
        <w:tc>
          <w:tcPr>
            <w:tcW w:w="200" w:type="dxa"/>
            <w:vAlign w:val="bottom"/>
            <w:vMerge w:val="restart"/>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720" w:type="dxa"/>
            <w:vAlign w:val="bottom"/>
            <w:vMerge w:val="restart"/>
            <w:shd w:val="clear" w:color="auto" w:fill="E5FFFF"/>
          </w:tcPr>
          <w:p>
            <w:pPr>
              <w:jc w:val="right"/>
              <w:spacing w:after="0"/>
              <w:rPr>
                <w:sz w:val="20"/>
                <w:szCs w:val="20"/>
                <w:color w:val="auto"/>
              </w:rPr>
            </w:pPr>
            <w:r>
              <w:rPr>
                <w:rFonts w:ascii="Arial" w:cs="Arial" w:eastAsia="Arial" w:hAnsi="Arial"/>
                <w:sz w:val="22"/>
                <w:szCs w:val="22"/>
                <w:color w:val="auto"/>
              </w:rPr>
              <w:t>3,025</w:t>
            </w:r>
          </w:p>
        </w:tc>
        <w:tc>
          <w:tcPr>
            <w:tcW w:w="400" w:type="dxa"/>
            <w:vAlign w:val="bottom"/>
            <w:shd w:val="clear" w:color="auto" w:fill="E5FFFF"/>
          </w:tcPr>
          <w:p>
            <w:pPr>
              <w:spacing w:after="0"/>
              <w:rPr>
                <w:sz w:val="17"/>
                <w:szCs w:val="17"/>
                <w:color w:val="auto"/>
              </w:rPr>
            </w:pPr>
          </w:p>
        </w:tc>
        <w:tc>
          <w:tcPr>
            <w:tcW w:w="140" w:type="dxa"/>
            <w:vAlign w:val="bottom"/>
            <w:vMerge w:val="restart"/>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22"/>
                <w:szCs w:val="22"/>
                <w:color w:val="auto"/>
              </w:rPr>
              <w:t>30,588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40" w:type="dxa"/>
            <w:vAlign w:val="bottom"/>
            <w:shd w:val="clear" w:color="auto" w:fill="E5FFFF"/>
          </w:tcPr>
          <w:p>
            <w:pPr>
              <w:spacing w:after="0" w:line="251" w:lineRule="exact"/>
              <w:rPr>
                <w:sz w:val="20"/>
                <w:szCs w:val="20"/>
                <w:color w:val="auto"/>
              </w:rPr>
            </w:pPr>
            <w:r>
              <w:rPr>
                <w:rFonts w:ascii="Arial" w:cs="Arial" w:eastAsia="Arial" w:hAnsi="Arial"/>
                <w:sz w:val="22"/>
                <w:szCs w:val="22"/>
                <w:color w:val="auto"/>
              </w:rPr>
              <w:t>shareholders</w:t>
            </w:r>
          </w:p>
        </w:tc>
        <w:tc>
          <w:tcPr>
            <w:tcW w:w="160" w:type="dxa"/>
            <w:vAlign w:val="bottom"/>
            <w:vMerge w:val="continue"/>
            <w:shd w:val="clear" w:color="auto" w:fill="E5FFFF"/>
          </w:tcPr>
          <w:p>
            <w:pPr>
              <w:spacing w:after="0"/>
              <w:rPr>
                <w:sz w:val="21"/>
                <w:szCs w:val="21"/>
                <w:color w:val="auto"/>
              </w:rPr>
            </w:pPr>
          </w:p>
        </w:tc>
        <w:tc>
          <w:tcPr>
            <w:tcW w:w="900" w:type="dxa"/>
            <w:vAlign w:val="bottom"/>
            <w:gridSpan w:val="2"/>
            <w:vMerge w:val="continue"/>
            <w:shd w:val="clear" w:color="auto" w:fill="E5FFFF"/>
          </w:tcPr>
          <w:p>
            <w:pPr>
              <w:spacing w:after="0"/>
              <w:rPr>
                <w:sz w:val="21"/>
                <w:szCs w:val="21"/>
                <w:color w:val="auto"/>
              </w:rPr>
            </w:pPr>
          </w:p>
        </w:tc>
        <w:tc>
          <w:tcPr>
            <w:tcW w:w="360" w:type="dxa"/>
            <w:vAlign w:val="bottom"/>
            <w:gridSpan w:val="2"/>
            <w:vMerge w:val="continue"/>
            <w:shd w:val="clear" w:color="auto" w:fill="E5FFFF"/>
          </w:tcPr>
          <w:p>
            <w:pPr>
              <w:spacing w:after="0"/>
              <w:rPr>
                <w:sz w:val="21"/>
                <w:szCs w:val="21"/>
                <w:color w:val="auto"/>
              </w:rPr>
            </w:pPr>
          </w:p>
        </w:tc>
        <w:tc>
          <w:tcPr>
            <w:tcW w:w="680" w:type="dxa"/>
            <w:vAlign w:val="bottom"/>
            <w:vMerge w:val="continue"/>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200" w:type="dxa"/>
            <w:vAlign w:val="bottom"/>
            <w:vMerge w:val="continue"/>
            <w:shd w:val="clear" w:color="auto" w:fill="E5FFFF"/>
          </w:tcPr>
          <w:p>
            <w:pPr>
              <w:spacing w:after="0"/>
              <w:rPr>
                <w:sz w:val="21"/>
                <w:szCs w:val="21"/>
                <w:color w:val="auto"/>
              </w:rPr>
            </w:pPr>
          </w:p>
        </w:tc>
        <w:tc>
          <w:tcPr>
            <w:tcW w:w="720" w:type="dxa"/>
            <w:vAlign w:val="bottom"/>
            <w:vMerge w:val="continue"/>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vMerge w:val="continue"/>
            <w:shd w:val="clear" w:color="auto" w:fill="E5FFFF"/>
          </w:tcPr>
          <w:p>
            <w:pPr>
              <w:spacing w:after="0"/>
              <w:rPr>
                <w:sz w:val="21"/>
                <w:szCs w:val="21"/>
                <w:color w:val="auto"/>
              </w:rPr>
            </w:pPr>
          </w:p>
        </w:tc>
        <w:tc>
          <w:tcPr>
            <w:tcW w:w="780" w:type="dxa"/>
            <w:vAlign w:val="bottom"/>
            <w:vMerge w:val="continue"/>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380" w:firstLine="648"/>
        <w:spacing w:after="0" w:line="251" w:lineRule="auto"/>
        <w:rPr>
          <w:sz w:val="20"/>
          <w:szCs w:val="20"/>
          <w:color w:val="auto"/>
        </w:rPr>
      </w:pPr>
      <w:r>
        <w:rPr>
          <w:rFonts w:ascii="Arial" w:cs="Arial" w:eastAsia="Arial" w:hAnsi="Arial"/>
          <w:sz w:val="22"/>
          <w:szCs w:val="22"/>
          <w:color w:val="auto"/>
        </w:rPr>
        <w:t>The ethanol and by-products segment includes the consolidated financial results of One Earth and NuGen, our equity investment in Big River and certain administrative expenses.</w:t>
      </w: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60"/>
          </w:cols>
          <w:pgMar w:left="240" w:top="402" w:right="499" w:bottom="1440" w:gutter="0" w:footer="0" w:header="0"/>
        </w:sectPr>
      </w:pPr>
    </w:p>
    <w:bookmarkStart w:id="30" w:name="page31"/>
    <w:bookmarkEnd w:id="30"/>
    <w:p>
      <w:pPr>
        <w:ind w:right="1000" w:firstLine="648"/>
        <w:spacing w:after="0" w:line="251" w:lineRule="auto"/>
        <w:rPr>
          <w:sz w:val="20"/>
          <w:szCs w:val="20"/>
          <w:color w:val="auto"/>
        </w:rPr>
      </w:pPr>
      <w:r>
        <w:rPr>
          <w:rFonts w:ascii="Arial" w:cs="Arial" w:eastAsia="Arial" w:hAnsi="Arial"/>
          <w:sz w:val="22"/>
          <w:szCs w:val="22"/>
          <w:color w:val="auto"/>
        </w:rPr>
        <w:t>The following table summarizes net sales and revenue from One Earth and NuGen by product group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6"/>
          </w:tcPr>
          <w:p>
            <w:pPr>
              <w:jc w:val="center"/>
              <w:ind w:right="300"/>
              <w:spacing w:after="0"/>
              <w:rPr>
                <w:sz w:val="20"/>
                <w:szCs w:val="20"/>
                <w:color w:val="auto"/>
              </w:rPr>
            </w:pPr>
            <w:r>
              <w:rPr>
                <w:rFonts w:ascii="Arial" w:cs="Arial" w:eastAsia="Arial" w:hAnsi="Arial"/>
                <w:sz w:val="22"/>
                <w:szCs w:val="22"/>
                <w:b w:val="1"/>
                <w:bCs w:val="1"/>
                <w:color w:val="auto"/>
                <w:w w:val="89"/>
              </w:rPr>
              <w:t>Nine Months Ended</w:t>
            </w:r>
          </w:p>
        </w:tc>
      </w:tr>
      <w:tr>
        <w:trPr>
          <w:trHeight w:val="243"/>
        </w:trPr>
        <w:tc>
          <w:tcPr>
            <w:tcW w:w="5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6"/>
          </w:tcPr>
          <w:p>
            <w:pPr>
              <w:jc w:val="center"/>
              <w:ind w:right="360"/>
              <w:spacing w:after="0" w:line="243" w:lineRule="exact"/>
              <w:rPr>
                <w:sz w:val="20"/>
                <w:szCs w:val="20"/>
                <w:color w:val="auto"/>
              </w:rPr>
            </w:pPr>
            <w:r>
              <w:rPr>
                <w:rFonts w:ascii="Arial" w:cs="Arial" w:eastAsia="Arial" w:hAnsi="Arial"/>
                <w:sz w:val="22"/>
                <w:szCs w:val="22"/>
                <w:b w:val="1"/>
                <w:bCs w:val="1"/>
                <w:color w:val="auto"/>
                <w:w w:val="89"/>
              </w:rPr>
              <w:t>October 31,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6"/>
          </w:tcPr>
          <w:p>
            <w:pPr>
              <w:jc w:val="center"/>
              <w:ind w:right="300"/>
              <w:spacing w:after="0" w:line="243" w:lineRule="exact"/>
              <w:rPr>
                <w:sz w:val="20"/>
                <w:szCs w:val="20"/>
                <w:color w:val="auto"/>
              </w:rPr>
            </w:pPr>
            <w:r>
              <w:rPr>
                <w:rFonts w:ascii="Arial" w:cs="Arial" w:eastAsia="Arial" w:hAnsi="Arial"/>
                <w:sz w:val="22"/>
                <w:szCs w:val="22"/>
                <w:b w:val="1"/>
                <w:bCs w:val="1"/>
                <w:color w:val="auto"/>
                <w:w w:val="89"/>
              </w:rPr>
              <w:t>October 31,</w:t>
            </w:r>
          </w:p>
        </w:tc>
      </w:tr>
      <w:tr>
        <w:trPr>
          <w:trHeight w:val="271"/>
        </w:trPr>
        <w:tc>
          <w:tcPr>
            <w:tcW w:w="5300" w:type="dxa"/>
            <w:vAlign w:val="bottom"/>
            <w:tcBorders>
              <w:bottom w:val="single" w:sz="8" w:color="E5FFFF"/>
            </w:tcBorders>
          </w:tcPr>
          <w:p>
            <w:pPr>
              <w:spacing w:after="0"/>
              <w:rPr>
                <w:sz w:val="23"/>
                <w:szCs w:val="23"/>
                <w:color w:val="auto"/>
              </w:rPr>
            </w:pPr>
          </w:p>
        </w:tc>
        <w:tc>
          <w:tcPr>
            <w:tcW w:w="780" w:type="dxa"/>
            <w:vAlign w:val="bottom"/>
            <w:tcBorders>
              <w:bottom w:val="single" w:sz="8" w:color="E5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2019</w:t>
            </w:r>
          </w:p>
        </w:tc>
        <w:tc>
          <w:tcPr>
            <w:tcW w:w="240" w:type="dxa"/>
            <w:vAlign w:val="bottom"/>
            <w:tcBorders>
              <w:bottom w:val="single" w:sz="8" w:color="E5FFFF"/>
            </w:tcBorders>
          </w:tcPr>
          <w:p>
            <w:pPr>
              <w:spacing w:after="0"/>
              <w:rPr>
                <w:sz w:val="23"/>
                <w:szCs w:val="23"/>
                <w:color w:val="auto"/>
              </w:rPr>
            </w:pPr>
          </w:p>
        </w:tc>
        <w:tc>
          <w:tcPr>
            <w:tcW w:w="24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2018</w:t>
            </w:r>
          </w:p>
        </w:tc>
        <w:tc>
          <w:tcPr>
            <w:tcW w:w="220" w:type="dxa"/>
            <w:vAlign w:val="bottom"/>
            <w:tcBorders>
              <w:bottom w:val="single" w:sz="8" w:color="E5FFFF"/>
            </w:tcBorders>
          </w:tcPr>
          <w:p>
            <w:pPr>
              <w:spacing w:after="0"/>
              <w:rPr>
                <w:sz w:val="23"/>
                <w:szCs w:val="23"/>
                <w:color w:val="auto"/>
              </w:rPr>
            </w:pPr>
          </w:p>
        </w:tc>
        <w:tc>
          <w:tcPr>
            <w:tcW w:w="22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2019</w:t>
            </w:r>
          </w:p>
        </w:tc>
        <w:tc>
          <w:tcPr>
            <w:tcW w:w="220" w:type="dxa"/>
            <w:vAlign w:val="bottom"/>
            <w:tcBorders>
              <w:bottom w:val="single" w:sz="8" w:color="E5FFFF"/>
            </w:tcBorders>
          </w:tcPr>
          <w:p>
            <w:pPr>
              <w:spacing w:after="0"/>
              <w:rPr>
                <w:sz w:val="23"/>
                <w:szCs w:val="23"/>
                <w:color w:val="auto"/>
              </w:rPr>
            </w:pPr>
          </w:p>
        </w:tc>
        <w:tc>
          <w:tcPr>
            <w:tcW w:w="22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bottom w:val="single" w:sz="8" w:color="E5FFFF"/>
            </w:tcBorders>
          </w:tcPr>
          <w:p>
            <w:pPr>
              <w:spacing w:after="0"/>
              <w:rPr>
                <w:sz w:val="23"/>
                <w:szCs w:val="23"/>
                <w:color w:val="auto"/>
              </w:rPr>
            </w:pPr>
          </w:p>
        </w:tc>
      </w:tr>
      <w:tr>
        <w:trPr>
          <w:trHeight w:val="237"/>
        </w:trPr>
        <w:tc>
          <w:tcPr>
            <w:tcW w:w="53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Sales of products, ethanol and by-products segment:</w:t>
            </w:r>
          </w:p>
        </w:tc>
        <w:tc>
          <w:tcPr>
            <w:tcW w:w="7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r>
      <w:tr>
        <w:trPr>
          <w:trHeight w:val="243"/>
        </w:trPr>
        <w:tc>
          <w:tcPr>
            <w:tcW w:w="5300" w:type="dxa"/>
            <w:vAlign w:val="bottom"/>
          </w:tcPr>
          <w:p>
            <w:pPr>
              <w:spacing w:after="0" w:line="243" w:lineRule="exact"/>
              <w:rPr>
                <w:sz w:val="20"/>
                <w:szCs w:val="20"/>
                <w:color w:val="auto"/>
              </w:rPr>
            </w:pPr>
            <w:r>
              <w:rPr>
                <w:rFonts w:ascii="Arial" w:cs="Arial" w:eastAsia="Arial" w:hAnsi="Arial"/>
                <w:sz w:val="22"/>
                <w:szCs w:val="22"/>
                <w:color w:val="auto"/>
              </w:rPr>
              <w:t>Ethanol</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66,149</w:t>
            </w:r>
          </w:p>
        </w:tc>
        <w:tc>
          <w:tcPr>
            <w:tcW w:w="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91,538</w:t>
            </w:r>
          </w:p>
        </w:tc>
        <w:tc>
          <w:tcPr>
            <w:tcW w:w="42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226,986</w:t>
            </w:r>
          </w:p>
        </w:tc>
        <w:tc>
          <w:tcPr>
            <w:tcW w:w="42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283,720</w:t>
            </w: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Dried distillers grains</w:t>
            </w:r>
          </w:p>
        </w:tc>
        <w:tc>
          <w:tcPr>
            <w:tcW w:w="7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16,627</w:t>
            </w:r>
          </w:p>
        </w:tc>
        <w:tc>
          <w:tcPr>
            <w:tcW w:w="2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24,683</w:t>
            </w: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51,188</w:t>
            </w: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65,826</w:t>
            </w:r>
          </w:p>
        </w:tc>
      </w:tr>
      <w:tr>
        <w:trPr>
          <w:trHeight w:val="243"/>
        </w:trPr>
        <w:tc>
          <w:tcPr>
            <w:tcW w:w="5300" w:type="dxa"/>
            <w:vAlign w:val="bottom"/>
          </w:tcPr>
          <w:p>
            <w:pPr>
              <w:spacing w:after="0" w:line="243" w:lineRule="exact"/>
              <w:rPr>
                <w:sz w:val="20"/>
                <w:szCs w:val="20"/>
                <w:color w:val="auto"/>
              </w:rPr>
            </w:pPr>
            <w:r>
              <w:rPr>
                <w:rFonts w:ascii="Arial" w:cs="Arial" w:eastAsia="Arial" w:hAnsi="Arial"/>
                <w:sz w:val="22"/>
                <w:szCs w:val="22"/>
                <w:color w:val="auto"/>
              </w:rPr>
              <w:t>Non-food grade corn oil</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3,099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4,964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12,681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15,019</w:t>
            </w:r>
          </w:p>
        </w:tc>
      </w:tr>
      <w:tr>
        <w:trPr>
          <w:trHeight w:val="243"/>
        </w:trPr>
        <w:tc>
          <w:tcPr>
            <w:tcW w:w="53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Modified distillers grains</w:t>
            </w:r>
          </w:p>
        </w:tc>
        <w:tc>
          <w:tcPr>
            <w:tcW w:w="7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702</w:t>
            </w:r>
          </w:p>
        </w:tc>
        <w:tc>
          <w:tcPr>
            <w:tcW w:w="2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2,340</w:t>
            </w: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5,846</w:t>
            </w:r>
          </w:p>
        </w:tc>
        <w:tc>
          <w:tcPr>
            <w:tcW w:w="2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8,100</w:t>
            </w:r>
          </w:p>
        </w:tc>
      </w:tr>
      <w:tr>
        <w:trPr>
          <w:trHeight w:val="243"/>
        </w:trPr>
        <w:tc>
          <w:tcPr>
            <w:tcW w:w="530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52</w:t>
            </w:r>
          </w:p>
        </w:tc>
      </w:tr>
      <w:tr>
        <w:trPr>
          <w:trHeight w:val="237"/>
        </w:trPr>
        <w:tc>
          <w:tcPr>
            <w:tcW w:w="53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w:t>
            </w:r>
          </w:p>
        </w:tc>
        <w:tc>
          <w:tcPr>
            <w:tcW w:w="78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86,603</w:t>
            </w:r>
          </w:p>
        </w:tc>
        <w:tc>
          <w:tcPr>
            <w:tcW w:w="240" w:type="dxa"/>
            <w:vAlign w:val="bottom"/>
            <w:tcBorders>
              <w:top w:val="single" w:sz="8" w:color="E5FFFF"/>
              <w:bottom w:val="single" w:sz="8" w:color="E5FFFF"/>
            </w:tcBorders>
            <w:shd w:val="clear" w:color="auto" w:fill="E5FFFF"/>
          </w:tcPr>
          <w:p>
            <w:pPr>
              <w:spacing w:after="0"/>
              <w:rPr>
                <w:sz w:val="20"/>
                <w:szCs w:val="20"/>
                <w:color w:val="auto"/>
              </w:rPr>
            </w:pPr>
          </w:p>
        </w:tc>
        <w:tc>
          <w:tcPr>
            <w:tcW w:w="240" w:type="dxa"/>
            <w:vAlign w:val="bottom"/>
            <w:tcBorders>
              <w:top w:val="single" w:sz="8" w:color="E5FFFF"/>
              <w:bottom w:val="single" w:sz="8" w:color="E5FFFF"/>
            </w:tcBorders>
            <w:shd w:val="clear" w:color="auto" w:fill="E5FFFF"/>
          </w:tcPr>
          <w:p>
            <w:pPr>
              <w:spacing w:after="0"/>
              <w:rPr>
                <w:sz w:val="20"/>
                <w:szCs w:val="20"/>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93"/>
              </w:rPr>
              <w:t>123,546</w:t>
            </w: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296,826</w:t>
            </w: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372,717</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selected operating data from One Earth and NuGen: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6"/>
          </w:tcPr>
          <w:p>
            <w:pPr>
              <w:jc w:val="center"/>
              <w:ind w:right="30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6"/>
          </w:tcPr>
          <w:p>
            <w:pPr>
              <w:jc w:val="center"/>
              <w:ind w:right="360"/>
              <w:spacing w:after="0" w:line="243" w:lineRule="exact"/>
              <w:rPr>
                <w:sz w:val="20"/>
                <w:szCs w:val="20"/>
                <w:color w:val="auto"/>
              </w:rPr>
            </w:pPr>
            <w:r>
              <w:rPr>
                <w:rFonts w:ascii="Arial" w:cs="Arial" w:eastAsia="Arial" w:hAnsi="Arial"/>
                <w:sz w:val="22"/>
                <w:szCs w:val="22"/>
                <w:b w:val="1"/>
                <w:bCs w:val="1"/>
                <w:color w:val="auto"/>
                <w:w w:val="89"/>
              </w:rPr>
              <w:t>October 31,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6"/>
          </w:tcPr>
          <w:p>
            <w:pPr>
              <w:jc w:val="center"/>
              <w:ind w:right="300"/>
              <w:spacing w:after="0" w:line="243" w:lineRule="exact"/>
              <w:rPr>
                <w:sz w:val="20"/>
                <w:szCs w:val="20"/>
                <w:color w:val="auto"/>
              </w:rPr>
            </w:pPr>
            <w:r>
              <w:rPr>
                <w:rFonts w:ascii="Arial" w:cs="Arial" w:eastAsia="Arial" w:hAnsi="Arial"/>
                <w:sz w:val="22"/>
                <w:szCs w:val="22"/>
                <w:b w:val="1"/>
                <w:bCs w:val="1"/>
                <w:color w:val="auto"/>
                <w:w w:val="89"/>
              </w:rPr>
              <w:t>October 31,</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2019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2018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gallon of ethanol</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1.39</w:t>
            </w:r>
          </w:p>
        </w:tc>
        <w:tc>
          <w:tcPr>
            <w:tcW w:w="4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1.28</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1.34</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47.6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71.4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169.4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134.57</w:t>
            </w:r>
          </w:p>
        </w:tc>
        <w:tc>
          <w:tcPr>
            <w:tcW w:w="4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139.67</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137.48</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141.90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w w:val="95"/>
              </w:rPr>
              <w:t>123,557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93"/>
              </w:rPr>
              <w:t>176,728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372,327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463,876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7"/>
              </w:rPr>
              <w:t>Average selling price per pound of non-food grade corn oil</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0.26</w:t>
            </w:r>
          </w:p>
        </w:tc>
        <w:tc>
          <w:tcPr>
            <w:tcW w:w="4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0.25</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0.25</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0.24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49.8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modified distillers grains</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56.56</w:t>
            </w:r>
          </w:p>
        </w:tc>
        <w:tc>
          <w:tcPr>
            <w:tcW w:w="4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46.67</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59.67</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59.96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12,420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50,139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97,975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135,078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640" w:type="dxa"/>
            <w:vAlign w:val="bottom"/>
            <w:gridSpan w:val="2"/>
            <w:shd w:val="clear" w:color="auto" w:fill="E5FF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4.15</w:t>
            </w:r>
          </w:p>
        </w:tc>
        <w:tc>
          <w:tcPr>
            <w:tcW w:w="40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3.32</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3.79</w:t>
            </w:r>
          </w:p>
        </w:tc>
        <w:tc>
          <w:tcPr>
            <w:tcW w:w="4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3.47</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64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22"/>
                <w:szCs w:val="22"/>
                <w:color w:val="auto"/>
              </w:rPr>
              <w:t>2.51</w:t>
            </w:r>
          </w:p>
        </w:tc>
        <w:tc>
          <w:tcPr>
            <w:tcW w:w="40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22"/>
                <w:szCs w:val="22"/>
                <w:color w:val="auto"/>
              </w:rPr>
              <w:t>2.90</w:t>
            </w:r>
          </w:p>
        </w:tc>
        <w:tc>
          <w:tcPr>
            <w:tcW w:w="4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2.98</w:t>
            </w:r>
          </w:p>
        </w:tc>
        <w:tc>
          <w:tcPr>
            <w:tcW w:w="4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22"/>
                <w:szCs w:val="22"/>
                <w:color w:val="auto"/>
              </w:rPr>
              <w:t>3.07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Ethanol sales decreased from approximately $91.5 million in the third quarter of fiscal year 2018 to approximately $66.1 million in the third quarter of fiscal year 2019, primarily a result of a 33% decrease in gallons sold compared to the third quarter of fiscal year 2018. This was partially offset as we realized an increased selling price per gallon of $0.11 in the third quarter of fiscal year 2019 compared to the third quarter of fiscal year 2018. Dried distillers grains sales decreased from approximately $24.7 million in the third quarter of fiscal year 2018 to approximately $16.6 million in the third quarter of fiscal year 2019, primarily a result of a 30% decrease in tons sold compared to the third quarter of fiscal year 2018. In addition, a $5.10 decrease in the price per ton sold compared to the third quarter of fiscal year 2018 also contributed to lower dried distillers grains sales. Non-food grade corn oil sales were approximately $3.1 million in the third quarter of fiscal year 2019 compared to approximately $5.0 million in the third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1" w:name="page32"/>
    <w:bookmarkEnd w:id="31"/>
    <w:p>
      <w:pPr>
        <w:ind w:right="180"/>
        <w:spacing w:after="0" w:line="282" w:lineRule="auto"/>
        <w:rPr>
          <w:sz w:val="20"/>
          <w:szCs w:val="20"/>
          <w:color w:val="auto"/>
        </w:rPr>
      </w:pPr>
      <w:r>
        <w:rPr>
          <w:rFonts w:ascii="Arial" w:cs="Arial" w:eastAsia="Arial" w:hAnsi="Arial"/>
          <w:sz w:val="19"/>
          <w:szCs w:val="19"/>
          <w:color w:val="auto"/>
        </w:rPr>
        <w:t>of fiscal year 2018. The decrease was primarily a result of a 41% decrease in pounds sold compared to the third quarter of fiscal year 2018. Modified distillers grains sales were approximately $0.7 million in in the third quarter of fiscal year 2019 compared to approximately $2.3 million in the third quarter of fiscal year 2018. The decrease was primarily a result of a 75% decrease in tons sold compared to the third quarter of fiscal year 2018. The above noted volume decreases were primarily a result of diminished local supplies of corn which prevented us from operating our NuGen ethanol plant at or near historical production levels.</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Ethanol sales decreased from approximately $283.7 million in the first nine months of fiscal year 2018 to approximately $227.0 million in the first nine months of fiscal year 2019, primarily a result of a decrease of 21% decrease in gallons sold. Dried distillers grains sales decreased from approximately $65.8 million in the first nine months of fiscal year 2018 to approximately $51.2 million in the first nine months of fiscal year 2019, primarily a result of a 20% decrease in tons sold compared to the first nine months of fiscal year 2018. Non-food grade corn oil sales decreased from approximately $15.0 million in the first nine months of fiscal year 2018 to approximately $12.7 million in the first nine months of fiscal year 2019, primarily a result of a 19% decrease in pounds sold. Modified distillers grains sales decreased from approximately $8.1 million in the first nine months of fiscal year 2018 to approximately $5.8 million in the first nine months of fiscal year 2019, primarily a result of a 27% decrease in tons sold. The volume decreases discussed above, which relate primarily to operations at NuGen, resulted from weather related logistical delays and diminished local availability of corn which negatively impacted production levels. Because of uncertainty regarding the availability of corn, we do not have an estimate of future periods’ sales volume.</w:t>
      </w:r>
    </w:p>
    <w:p>
      <w:pPr>
        <w:spacing w:after="0" w:line="183"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Gross profit for the third quarter of fiscal year 2019 was approximately $28,000 (0% of net sales and revenue), which was approximately $11.2 million lower compared to approximately $11.3 million of gross profit (9.1% of net sales and revenue) for the third quarter of fiscal year 2018. The crush spread for the third quarter of fiscal year 2019 was approximately $(0.04) per gallon of ethanol sold compared to $0.13 per gallon of ethanol sold during the third quarter of fiscal year 2018. There are concerns regarding the availability of local corn until the 2020 corn harvest. This could lead to future period corn price increases and/or acceptable supplies of corn may not be sufficiently available. The decrease of approximately $11.6 million in sales of dried distillers grains, non-food grade corn oil and modified distillers grains compared to the third quarter of fiscal year 2018 negatively affected gross profit.</w:t>
      </w:r>
    </w:p>
    <w:p>
      <w:pPr>
        <w:spacing w:after="0" w:line="208"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Grain accounted for approximately 78% ($67.7 million) of our cost of sales during the third quarter of fiscal year 2019 compared to approximately 76% ($84.9 million) during the third quarter of fiscal year 2018. Natural gas accounted for approximately 4% ($3.2 million) of our cost of sales during the third quarter of fiscal year 2019 compared to approximately 5% ($5.5 million) during the third quarter of fiscal year 2018. Both the grain and natural gas dollar decreases were primarily attributable to the lower production levels incurred in the third quarter of fiscal year 2019 relative to the third quarter of fiscal year 2018 levels.</w:t>
      </w:r>
    </w:p>
    <w:p>
      <w:pPr>
        <w:spacing w:after="0" w:line="21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Gross profit for the first nine months of fiscal year 2019 was approximately $12.3 million (4.1% of net sales and revenue), which was approximately $26.2 million lower compared to approximately $38.5 million of gross profit (10.3% of net sales and revenue) for the first nine months of fiscal year 2018. The crush spread for the first nine months of fiscal year 2019 was approximately $0.03 per gallon of ethanol sold compared to approximately $0.13 per gallon of ethanol sold during the first nine months of fiscal year 2018. The decrease of approximately $19.2 million in sales of dried distillers grains, non-food grade corn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oil and modified distillers grains compared to the first nine months of fiscal year 2018 negatively affected gross profit.</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Grain accounted for approximately 78% ($221.3 million) of our cost of sales during the first nine months of fiscal year 2019 compared to approximately 77% ($256.7 million) during the first nine months of fiscal year 2018. Natural gas accounted for approximately 5% ($13.5 million) of our cost of sales during the first nine months of fiscal year 2019 compared to approximately 5% ($17.0 million) during the first nine months of fiscal year 2018. The decrease in dollars for both grain and natural gas was primarily attributable to the lower production levels incurred in fiscal year 2019 relative to fiscal year 2018 levels.</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80"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SG&amp;A expenses for the third quarter of fiscal year 2019 were approximately $3.6 million, compared to the third quarter of fiscal year 2018 amount of approximately $4.0 million. SG&amp;A expenses were approximately $11.6 million for the first nine months of fiscal year 2019, compared to the first nine months of fiscal year 2018 amount of $12.6 million. Both the quarterly and year to date decreases were primarily related to a decrease in incentive compensation expense associated with lower profitability in fiscal year 2019.</w:t>
      </w:r>
    </w:p>
    <w:p>
      <w:pPr>
        <w:spacing w:after="0" w:line="21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During the third quarter of fiscal year 2019 we recognized a loss of approximately $15,000 compared to income of approximately $611,000 for the third quarter of fiscal year 2018, from our equity investment in Big River. Such income was approximately $350,000 and approximately $2,182,000 during the first nine months of fiscal year 2019 and 2018, respectively. Big River has interests in four ethanol production plants that shipped approximately 430 million gallons in the trailing twelve months ended October 31, 2019 and has an effective ownership of ethanol gallons shipped for the same period of approximately 370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0"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Interest and other income was approximately $0.7 million for the third quarter of fiscal year 2019 compared to approximately $0.6 million for the third quarter of fiscal year 2018. Interest and other income was approximately $2.4 million for the first nine months of fiscal year 2019 versus approximately $1.4 million for the first nine months of fiscal year 2018. Income has increased as yields on our excess cash improved compared to fiscal year 2018 and the balance of our excess cash invested has increased compared to fiscal year 2018.</w:t>
      </w:r>
    </w:p>
    <w:p>
      <w:pPr>
        <w:spacing w:after="0" w:line="215" w:lineRule="exact"/>
        <w:rPr>
          <w:sz w:val="20"/>
          <w:szCs w:val="20"/>
          <w:color w:val="auto"/>
        </w:rPr>
      </w:pPr>
    </w:p>
    <w:p>
      <w:pPr>
        <w:ind w:right="1020" w:firstLine="648"/>
        <w:spacing w:after="0" w:line="251" w:lineRule="auto"/>
        <w:rPr>
          <w:sz w:val="20"/>
          <w:szCs w:val="20"/>
          <w:color w:val="auto"/>
        </w:rPr>
      </w:pPr>
      <w:r>
        <w:rPr>
          <w:rFonts w:ascii="Arial" w:cs="Arial" w:eastAsia="Arial" w:hAnsi="Arial"/>
          <w:sz w:val="22"/>
          <w:szCs w:val="22"/>
          <w:color w:val="auto"/>
        </w:rPr>
        <w:t>The benefit for income taxes was approximately $0.9 million in the third quarter of fiscal year 2019 compared to approximately $1.6 million in the third quarter of fiscal year 2018. The provision for income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3" w:name="page34"/>
    <w:bookmarkEnd w:id="33"/>
    <w:p>
      <w:pPr>
        <w:jc w:val="both"/>
        <w:ind w:right="240"/>
        <w:spacing w:after="0" w:line="297" w:lineRule="auto"/>
        <w:rPr>
          <w:sz w:val="20"/>
          <w:szCs w:val="20"/>
          <w:color w:val="auto"/>
        </w:rPr>
      </w:pPr>
      <w:r>
        <w:rPr>
          <w:rFonts w:ascii="Arial" w:cs="Arial" w:eastAsia="Arial" w:hAnsi="Arial"/>
          <w:sz w:val="19"/>
          <w:szCs w:val="19"/>
          <w:color w:val="auto"/>
        </w:rPr>
        <w:t>taxes was approximately $0.2 million in the first nine months of fiscal year 2019 compared to approximately $1.8 million in the first nine months of fiscal year 2018. The fluctuation in segment income tax provision is primarily related to federal research and experimentation tax credits recognized in fiscal year 2018 and lower pre-tax income during fiscal year 2019.</w:t>
      </w:r>
    </w:p>
    <w:p>
      <w:pPr>
        <w:spacing w:after="0" w:line="161"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Income related to noncontrolling interests was approximately $0.5 million and approximately $2.1 million during the third quarters of fiscal years 2019 and 2018, respectively. Income related to noncontrolling interests was approximately $2.6 million and approximately $4.6 million during the first nine months of fiscal years 2019 and 2018, respectively. These amounts represent the other owners’ share of the income of NuGen and One Earth.</w:t>
      </w:r>
    </w:p>
    <w:p>
      <w:pPr>
        <w:spacing w:after="0" w:line="21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Segment loss for the third quarter of fiscal year 2019 was approximately $2.3 million, which was a decrease of approximately $10.3 million compared to the prior year third quarter segment profit of approximately $7.9 million. Segment profit for the first nine months of fiscal year 2019 was approximately $0.7 million, which was approximately $22.4 million lower compared to the first nine months of fiscal year 2018 amount of approximately $23.1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jc w:val="both"/>
        <w:ind w:right="380" w:firstLine="648"/>
        <w:spacing w:after="0"/>
        <w:rPr>
          <w:sz w:val="20"/>
          <w:szCs w:val="20"/>
          <w:color w:val="auto"/>
        </w:rPr>
      </w:pPr>
      <w:r>
        <w:rPr>
          <w:rFonts w:ascii="Arial" w:cs="Arial" w:eastAsia="Arial" w:hAnsi="Arial"/>
          <w:sz w:val="22"/>
          <w:szCs w:val="22"/>
          <w:color w:val="auto"/>
        </w:rPr>
        <w:t>The refined coal segment includes the consolidated financial results of our refined coal entity and certain administrative expenses. We acquired the refined coal entity during the third quarter of fiscal year 2017. The following table summarizes sales from refined coal operations by product group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60" w:type="dxa"/>
            <w:vAlign w:val="bottom"/>
            <w:gridSpan w:val="7"/>
          </w:tcPr>
          <w:p>
            <w:pPr>
              <w:jc w:val="center"/>
              <w:ind w:right="440"/>
              <w:spacing w:after="0"/>
              <w:rPr>
                <w:sz w:val="20"/>
                <w:szCs w:val="20"/>
                <w:color w:val="auto"/>
              </w:rPr>
            </w:pPr>
            <w:r>
              <w:rPr>
                <w:rFonts w:ascii="Arial" w:cs="Arial" w:eastAsia="Arial" w:hAnsi="Arial"/>
                <w:sz w:val="22"/>
                <w:szCs w:val="22"/>
                <w:b w:val="1"/>
                <w:bCs w:val="1"/>
                <w:color w:val="auto"/>
                <w:w w:val="90"/>
              </w:rPr>
              <w:t>Three Months Ended</w:t>
            </w:r>
          </w:p>
        </w:tc>
        <w:tc>
          <w:tcPr>
            <w:tcW w:w="160" w:type="dxa"/>
            <w:vAlign w:val="bottom"/>
          </w:tcPr>
          <w:p>
            <w:pPr>
              <w:spacing w:after="0"/>
              <w:rPr>
                <w:sz w:val="21"/>
                <w:szCs w:val="21"/>
                <w:color w:val="auto"/>
              </w:rPr>
            </w:pPr>
          </w:p>
        </w:tc>
        <w:tc>
          <w:tcPr>
            <w:tcW w:w="2100" w:type="dxa"/>
            <w:vAlign w:val="bottom"/>
            <w:gridSpan w:val="4"/>
          </w:tcPr>
          <w:p>
            <w:pPr>
              <w:ind w:left="40"/>
              <w:spacing w:after="0"/>
              <w:rPr>
                <w:sz w:val="20"/>
                <w:szCs w:val="20"/>
                <w:color w:val="auto"/>
              </w:rPr>
            </w:pPr>
            <w:r>
              <w:rPr>
                <w:rFonts w:ascii="Arial" w:cs="Arial" w:eastAsia="Arial" w:hAnsi="Arial"/>
                <w:sz w:val="22"/>
                <w:szCs w:val="22"/>
                <w:b w:val="1"/>
                <w:bCs w:val="1"/>
                <w:color w:val="auto"/>
                <w:w w:val="99"/>
              </w:rPr>
              <w:t>Nine Months Ended</w:t>
            </w:r>
          </w:p>
        </w:tc>
      </w:tr>
      <w:tr>
        <w:trPr>
          <w:trHeight w:val="243"/>
        </w:trPr>
        <w:tc>
          <w:tcPr>
            <w:tcW w:w="48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60" w:type="dxa"/>
            <w:vAlign w:val="bottom"/>
            <w:gridSpan w:val="7"/>
          </w:tcPr>
          <w:p>
            <w:pPr>
              <w:jc w:val="center"/>
              <w:ind w:right="440"/>
              <w:spacing w:after="0" w:line="243" w:lineRule="exact"/>
              <w:rPr>
                <w:sz w:val="20"/>
                <w:szCs w:val="20"/>
                <w:color w:val="auto"/>
              </w:rPr>
            </w:pPr>
            <w:r>
              <w:rPr>
                <w:rFonts w:ascii="Arial" w:cs="Arial" w:eastAsia="Arial" w:hAnsi="Arial"/>
                <w:sz w:val="22"/>
                <w:szCs w:val="22"/>
                <w:b w:val="1"/>
                <w:bCs w:val="1"/>
                <w:color w:val="auto"/>
                <w:w w:val="89"/>
              </w:rPr>
              <w:t>October 31,</w:t>
            </w:r>
          </w:p>
        </w:tc>
        <w:tc>
          <w:tcPr>
            <w:tcW w:w="160" w:type="dxa"/>
            <w:vAlign w:val="bottom"/>
          </w:tcPr>
          <w:p>
            <w:pPr>
              <w:spacing w:after="0"/>
              <w:rPr>
                <w:sz w:val="21"/>
                <w:szCs w:val="21"/>
                <w:color w:val="auto"/>
              </w:rPr>
            </w:pPr>
          </w:p>
        </w:tc>
        <w:tc>
          <w:tcPr>
            <w:tcW w:w="2100" w:type="dxa"/>
            <w:vAlign w:val="bottom"/>
            <w:gridSpan w:val="4"/>
          </w:tcPr>
          <w:p>
            <w:pPr>
              <w:ind w:left="420"/>
              <w:spacing w:after="0" w:line="243" w:lineRule="exact"/>
              <w:rPr>
                <w:sz w:val="20"/>
                <w:szCs w:val="20"/>
                <w:color w:val="auto"/>
              </w:rPr>
            </w:pPr>
            <w:r>
              <w:rPr>
                <w:rFonts w:ascii="Arial" w:cs="Arial" w:eastAsia="Arial" w:hAnsi="Arial"/>
                <w:sz w:val="22"/>
                <w:szCs w:val="22"/>
                <w:b w:val="1"/>
                <w:bCs w:val="1"/>
                <w:color w:val="auto"/>
              </w:rPr>
              <w:t>October 31,</w:t>
            </w:r>
          </w:p>
        </w:tc>
      </w:tr>
      <w:tr>
        <w:trPr>
          <w:trHeight w:val="271"/>
        </w:trPr>
        <w:tc>
          <w:tcPr>
            <w:tcW w:w="4880" w:type="dxa"/>
            <w:vAlign w:val="bottom"/>
          </w:tcPr>
          <w:p>
            <w:pPr>
              <w:spacing w:after="0"/>
              <w:rPr>
                <w:sz w:val="20"/>
                <w:szCs w:val="20"/>
                <w:color w:val="auto"/>
              </w:rPr>
            </w:pPr>
            <w:r>
              <w:rPr>
                <w:rFonts w:ascii="Arial" w:cs="Arial" w:eastAsia="Arial" w:hAnsi="Arial"/>
                <w:sz w:val="22"/>
                <w:szCs w:val="22"/>
                <w:color w:val="auto"/>
              </w:rPr>
              <w:t>Sales of products, refined coal segment:</w:t>
            </w:r>
          </w:p>
        </w:tc>
        <w:tc>
          <w:tcPr>
            <w:tcW w:w="1420" w:type="dxa"/>
            <w:vAlign w:val="bottom"/>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2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8"/>
              </w:rPr>
              <w:t>2018</w:t>
            </w:r>
          </w:p>
        </w:tc>
        <w:tc>
          <w:tcPr>
            <w:tcW w:w="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8"/>
              </w:rPr>
              <w:t>2019</w:t>
            </w:r>
          </w:p>
        </w:tc>
        <w:tc>
          <w:tcPr>
            <w:tcW w:w="4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8"/>
              </w:rPr>
              <w:t>2018</w:t>
            </w:r>
          </w:p>
        </w:tc>
      </w:tr>
      <w:tr>
        <w:trPr>
          <w:trHeight w:val="561"/>
        </w:trPr>
        <w:tc>
          <w:tcPr>
            <w:tcW w:w="4880" w:type="dxa"/>
            <w:vAlign w:val="bottom"/>
          </w:tcPr>
          <w:p>
            <w:pPr>
              <w:spacing w:after="0"/>
              <w:rPr>
                <w:sz w:val="20"/>
                <w:szCs w:val="20"/>
                <w:color w:val="auto"/>
              </w:rPr>
            </w:pPr>
            <w:r>
              <w:rPr>
                <w:rFonts w:ascii="Arial" w:cs="Arial" w:eastAsia="Arial" w:hAnsi="Arial"/>
                <w:sz w:val="22"/>
                <w:szCs w:val="22"/>
                <w:color w:val="auto"/>
              </w:rPr>
              <w:t xml:space="preserve">Refined coal </w:t>
            </w:r>
            <w:r>
              <w:rPr>
                <w:rFonts w:ascii="Arial" w:cs="Arial" w:eastAsia="Arial" w:hAnsi="Arial"/>
                <w:sz w:val="36"/>
                <w:szCs w:val="36"/>
                <w:color w:val="auto"/>
                <w:vertAlign w:val="superscript"/>
              </w:rPr>
              <w:t>1</w:t>
            </w:r>
          </w:p>
        </w:tc>
        <w:tc>
          <w:tcPr>
            <w:tcW w:w="2120" w:type="dxa"/>
            <w:vAlign w:val="bottom"/>
            <w:gridSpan w:val="2"/>
          </w:tcPr>
          <w:p>
            <w:pPr>
              <w:jc w:val="right"/>
              <w:ind w:right="492"/>
              <w:spacing w:after="0"/>
              <w:rPr>
                <w:sz w:val="20"/>
                <w:szCs w:val="20"/>
                <w:color w:val="auto"/>
              </w:rPr>
            </w:pPr>
            <w:r>
              <w:rPr>
                <w:rFonts w:ascii="Arial" w:cs="Arial" w:eastAsia="Arial" w:hAnsi="Arial"/>
                <w:sz w:val="22"/>
                <w:szCs w:val="22"/>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22"/>
                <w:szCs w:val="22"/>
                <w:color w:val="auto"/>
                <w:w w:val="89"/>
              </w:rPr>
              <w:t>68</w:t>
            </w:r>
          </w:p>
        </w:tc>
        <w:tc>
          <w:tcPr>
            <w:tcW w:w="42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740" w:type="dxa"/>
            <w:vAlign w:val="bottom"/>
          </w:tcPr>
          <w:p>
            <w:pPr>
              <w:jc w:val="right"/>
              <w:spacing w:after="0"/>
              <w:rPr>
                <w:sz w:val="20"/>
                <w:szCs w:val="20"/>
                <w:color w:val="auto"/>
              </w:rPr>
            </w:pPr>
            <w:r>
              <w:rPr>
                <w:rFonts w:ascii="Arial" w:cs="Arial" w:eastAsia="Arial" w:hAnsi="Arial"/>
                <w:sz w:val="22"/>
                <w:szCs w:val="22"/>
                <w:color w:val="auto"/>
              </w:rPr>
              <w:t>204</w:t>
            </w:r>
          </w:p>
        </w:tc>
        <w:tc>
          <w:tcPr>
            <w:tcW w:w="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gridSpan w:val="2"/>
          </w:tcPr>
          <w:p>
            <w:pPr>
              <w:ind w:left="420"/>
              <w:spacing w:after="0"/>
              <w:rPr>
                <w:sz w:val="20"/>
                <w:szCs w:val="20"/>
                <w:color w:val="auto"/>
              </w:rPr>
            </w:pPr>
            <w:r>
              <w:rPr>
                <w:rFonts w:ascii="Arial" w:cs="Arial" w:eastAsia="Arial" w:hAnsi="Arial"/>
                <w:sz w:val="22"/>
                <w:szCs w:val="22"/>
                <w:color w:val="auto"/>
              </w:rPr>
              <w:t>288</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40" w:type="dxa"/>
            <w:vAlign w:val="bottom"/>
          </w:tcPr>
          <w:p>
            <w:pPr>
              <w:jc w:val="right"/>
              <w:spacing w:after="0"/>
              <w:rPr>
                <w:sz w:val="20"/>
                <w:szCs w:val="20"/>
                <w:color w:val="auto"/>
              </w:rPr>
            </w:pPr>
            <w:r>
              <w:rPr>
                <w:rFonts w:ascii="Arial" w:cs="Arial" w:eastAsia="Arial" w:hAnsi="Arial"/>
                <w:sz w:val="22"/>
                <w:szCs w:val="22"/>
                <w:color w:val="auto"/>
              </w:rPr>
              <w:t>610</w:t>
            </w:r>
          </w:p>
        </w:tc>
      </w:tr>
      <w:tr>
        <w:trPr>
          <w:trHeight w:val="20"/>
        </w:trPr>
        <w:tc>
          <w:tcPr>
            <w:tcW w:w="4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80" w:firstLine="656"/>
        <w:spacing w:after="0" w:line="186" w:lineRule="auto"/>
        <w:tabs>
          <w:tab w:leader="none" w:pos="792"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212"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Refined coal sales were approximately $0.1 million and approximately $0.2 million in the third quarters of fiscal years 2019 and 2018, respectively. These sales were approximately $0.3 million and approximately $0.6 million in the first nine months of fiscal years 2019 and 2018, respectively. During fiscal year 2019, operating results have been adversely affected by lower utility plant demand (our only customer). We expect future period refined coal sales to vary depending on fluctuations in demand from the site host utility, which generally change based upon weather conditions in the geographic markets the utility serves and competing fuel prices and supplies. Based upon current year operations and projections from the site host utility, we expect lower demand for refined coal in future periods compared to historical results.</w:t>
      </w:r>
    </w:p>
    <w:p>
      <w:pPr>
        <w:spacing w:after="0" w:line="205"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Gross loss was approximately $1.8 million and approximately $3.5 million in the third quarters of fiscal year 2019 and 2018, respectively. Gross loss was approximately $6.4 million and approximately $10.5 million in the first nine months of fiscal year 2019 and 2018, respectively. We expect future period gross losses to vary like the sales fluctuations described above. Based upon the agreements in place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4" w:name="page35"/>
    <w:bookmarkEnd w:id="34"/>
    <w:p>
      <w:pPr>
        <w:ind w:right="500"/>
        <w:spacing w:after="0" w:line="328" w:lineRule="auto"/>
        <w:rPr>
          <w:sz w:val="20"/>
          <w:szCs w:val="20"/>
          <w:color w:val="auto"/>
        </w:rPr>
      </w:pPr>
      <w:r>
        <w:rPr>
          <w:rFonts w:ascii="Arial" w:cs="Arial" w:eastAsia="Arial" w:hAnsi="Arial"/>
          <w:sz w:val="19"/>
          <w:szCs w:val="19"/>
          <w:color w:val="auto"/>
        </w:rPr>
        <w:t>govern the operation, sales and purchasing activities of the refined coal plant, we expect the refined coal operation to continue operating at a gross loss. We expect that the ongoing losses will be subsidized by federal production income tax credits.</w:t>
      </w:r>
    </w:p>
    <w:p>
      <w:pPr>
        <w:spacing w:after="0" w:line="13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SG&amp;A expenses were approximately $(0.1) million and approximately $0.7 million in the third quarters of fiscal years 2019 and 2018, respectively. Such expenses were approximately $(0.1) million and approximately $1.4 million in the first nine months of fiscal years 2019 and 2018, respectively. We expect future period expenses to be less than $1.0 million per quarter. The fiscal year 2019 expenses were reduced as estimates of future refined coal production have been reduced.</w:t>
      </w:r>
    </w:p>
    <w:p>
      <w:pPr>
        <w:spacing w:after="0" w:line="170"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Loss related to noncontrolling interests was approximately $0.1 million and approximately $0.2 million in the third quarters of fiscal years 2019 and 2018, respectively. Loss related to noncontrolling interests was approximately $0.3 million and approximately $0.5 million in the first nine months of fiscal years 2019 and 2018, respectively. This amount represents the other owner’s share of the pre-tax loss of refined coal operations.</w:t>
      </w:r>
    </w:p>
    <w:p>
      <w:pPr>
        <w:spacing w:after="0" w:line="212" w:lineRule="exact"/>
        <w:rPr>
          <w:sz w:val="20"/>
          <w:szCs w:val="20"/>
          <w:color w:val="auto"/>
        </w:rPr>
      </w:pPr>
    </w:p>
    <w:p>
      <w:pPr>
        <w:ind w:right="180" w:firstLine="648"/>
        <w:spacing w:after="0" w:line="248" w:lineRule="auto"/>
        <w:rPr>
          <w:sz w:val="20"/>
          <w:szCs w:val="20"/>
          <w:color w:val="auto"/>
        </w:rPr>
      </w:pPr>
      <w:r>
        <w:rPr>
          <w:rFonts w:ascii="Arial" w:cs="Arial" w:eastAsia="Arial" w:hAnsi="Arial"/>
          <w:sz w:val="21"/>
          <w:szCs w:val="21"/>
          <w:color w:val="auto"/>
        </w:rPr>
        <w:t>The benefit for income taxes was approximately $2.2 million and approximately $8.3 million in the third quarters of fiscal years 2019 and 2018, respectively. The benefit for income taxes was approximately $9.3 million and approximately $19.9 million in the first nine months of fiscal years 2019 and 2018, respectively. The refined coal segment tax benefit is comprised of an estimated statutory benefit of its pre-tax losses and an estimated benefit from the federal production tax credits we expect to earn from producing and selling refined coal. The amount of benefit we recognize during interim periods will fluctuate based on actual production and profitability levels.</w:t>
      </w:r>
    </w:p>
    <w:p>
      <w:pPr>
        <w:spacing w:after="0" w:line="204"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As a result of the foregoing, including the benefit of federal production tax credits associated with refined coal production and sales, segment profit was approximately $0.6 million and approximately $4.3 million for the third quarters of fiscal years 2019 and 2018, respectively. Segment profit was approximately $3.2 million and approximately $8.5 million for the first nine months of fiscal years 2019 and 2018,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39" w:lineRule="exact"/>
        <w:rPr>
          <w:sz w:val="20"/>
          <w:szCs w:val="20"/>
          <w:color w:val="auto"/>
        </w:rPr>
      </w:pPr>
    </w:p>
    <w:p>
      <w:pPr>
        <w:ind w:right="700" w:firstLine="648"/>
        <w:spacing w:after="0" w:line="328" w:lineRule="auto"/>
        <w:rPr>
          <w:sz w:val="20"/>
          <w:szCs w:val="20"/>
          <w:color w:val="auto"/>
        </w:rPr>
      </w:pPr>
      <w:r>
        <w:rPr>
          <w:rFonts w:ascii="Arial" w:cs="Arial" w:eastAsia="Arial" w:hAnsi="Arial"/>
          <w:sz w:val="19"/>
          <w:szCs w:val="19"/>
          <w:color w:val="auto"/>
        </w:rPr>
        <w:t>SG&amp;A expenses were approximately $0.7 million for each of the third quarters of fiscal years 2019 and 2018. These expenses were approximately $2.1 million for each of the first nine months of fiscal years 2019 and 2018, respectively.</w:t>
      </w:r>
    </w:p>
    <w:p>
      <w:pPr>
        <w:spacing w:after="0" w:line="132"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Interest and other income was approximately $0.3 million for each of the third quarters of fiscal years 2019 and 2018. Interest and other income was approximately $0.9 million and approximately $0.8 million for the first nine months of fiscal years 2019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Net cash used in operating activities was approximately $2.3 million for the first nine months of fiscal year 2019, compared to cash provided of approximately $28.9 million for the first nine months of fiscal year 2018. For the first nine months of fiscal year 2019, cash was provided by net income of approximately $5.4 million, adjusted for non-cash items of approximately $12.3 million, which consisted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5" w:name="page36"/>
    <w:bookmarkEnd w:id="35"/>
    <w:p>
      <w:pPr>
        <w:ind w:right="40"/>
        <w:spacing w:after="0" w:line="272" w:lineRule="auto"/>
        <w:rPr>
          <w:sz w:val="20"/>
          <w:szCs w:val="20"/>
          <w:color w:val="auto"/>
        </w:rPr>
      </w:pPr>
      <w:r>
        <w:rPr>
          <w:rFonts w:ascii="Arial" w:cs="Arial" w:eastAsia="Arial" w:hAnsi="Arial"/>
          <w:sz w:val="19"/>
          <w:szCs w:val="19"/>
          <w:color w:val="auto"/>
        </w:rPr>
        <w:t>of depreciation, amortization of operating lease right-of-use assets, income from equity method investments, interest income from short-term investments, the deferred income tax provision and stock based compensation expense. We received dividends from Big River of approximately $1.0 million during the first nine months of fiscal year 2019. An increase in the balance of accounts receivable used cash of approximately $5.0 million, which was primarily a result of amounts owed by One Earth’s sole corn provider (until the end of the third quarter) and the timing of customer payments and shipments. Beginning in the fourth quarter of fiscal year 2019, One Earth is sourcing its own corn and in conjunction with this change One Earth was owed approximately $6.7 million at the end of the third quarter from the previous corn originator. An increase in the balance of inventories used cash of approximately $12.6 million, which was primarily a result of the timing of receipt of raw materials, plant shutdowns and the shipment of finished goods. An increase in the balance of accounts payable provided cash of approximately $5.6 million, which was primarily a result of the timing of inventory receipts and vendor payments. A decrease in the balance of other liabilities used cash of approximately $9.0 million, which was primarily a result of payments of operating leases and incentive compensation as well as lower accruals for utilities.</w:t>
      </w:r>
    </w:p>
    <w:p>
      <w:pPr>
        <w:spacing w:after="0" w:line="200" w:lineRule="exact"/>
        <w:rPr>
          <w:sz w:val="20"/>
          <w:szCs w:val="20"/>
          <w:color w:val="auto"/>
        </w:rPr>
      </w:pPr>
    </w:p>
    <w:p>
      <w:pPr>
        <w:spacing w:after="0" w:line="236"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Net cash provided by operating activities was approximately $28.9 million for the first nine months of fiscal year 2018. For the first nine months of fiscal year 2018, cash was provided by net income of approximately $34.6 million, adjusted for non-cash items of approximately ($5.9) million, which consisted of depreciation, income from equity method investments, interest income from short-term investments, the deferred income tax provision and stock based compensation expense. We received dividends from Big River of approximately $3.0 million during the first nine months of fiscal year 2018. An increase in the balance of accounts receivable used cash of approximately $2.8 million, which was primarily a result of the timing of customer shipments and payments. An increase in the balance of inventories used cash of approximately $0.9 million, which was primarily a result of the timing of receipt of raw materials. An increase in refundable income taxes of approximately $1.7 million was primarily a result of recognizing the benefit of an expected filing of an amended income tax return to claim a refund for prior years. An increase in the balance of accounts payable provided cash of approximately $1.7 million, which was primarily a result of the timing of inventory receipts and vendor payments. An increase in the balance of other liabilities provided cash of approximately $2.1 million which was primarily a result of unrecognized tax benefits related to certain tax credits.</w:t>
      </w:r>
    </w:p>
    <w:p>
      <w:pPr>
        <w:spacing w:after="0" w:line="189"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At October 31, 2019, working capital was approximately $236.1 million, compared to approximately $233.6 million at January 31, 2019. The ratio of current assets to current liabilities was 10.7 to 1 at October 31, 2019 and 14.7 to 1 at January 31, 2019.</w:t>
      </w:r>
    </w:p>
    <w:p>
      <w:pPr>
        <w:spacing w:after="0" w:line="21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Cash of approximately $12.7 million was provided by investing activities for the first nine months of fiscal year 2019, compared to cash used of approximately $21.8 million during the first nine months of fiscal year 2018. During the first nine months of fiscal year 2019, we had capital expenditures of approximately $2.6 million. We expect to spend between $5 million and $6 million during the remainder of fiscal year 2019 on various capital projects. During the first nine months of fiscal year 2019, we sold United States treasury bills (classified as short-term investments) of approximately $15.0 million. Depending on investment options available, we may elect to retain the funds, or a portion thereof, in cash investments, short-term investments or long-term investments.</w:t>
      </w:r>
    </w:p>
    <w:p>
      <w:pPr>
        <w:spacing w:after="0" w:line="218"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Cash of approximately $21.8 million was used in investing activities for the first nine months of fiscal year 2018. During the first nine months of fiscal year 2018, we had capital expenditures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6" w:name="page37"/>
    <w:bookmarkEnd w:id="36"/>
    <w:p>
      <w:pPr>
        <w:ind w:right="280"/>
        <w:spacing w:after="0" w:line="287" w:lineRule="auto"/>
        <w:rPr>
          <w:sz w:val="20"/>
          <w:szCs w:val="20"/>
          <w:color w:val="auto"/>
        </w:rPr>
      </w:pPr>
      <w:r>
        <w:rPr>
          <w:rFonts w:ascii="Arial" w:cs="Arial" w:eastAsia="Arial" w:hAnsi="Arial"/>
          <w:sz w:val="19"/>
          <w:szCs w:val="19"/>
          <w:color w:val="auto"/>
        </w:rPr>
        <w:t>approximately $8.0 million, the majority of which were capacity expansion projects at the One Earth and NuGen ethanol plants. During the first nine months of fiscal year 2018, we used cash of approximately $126.0 million for the purchase of United States treasury bills to increase the interest income we receive on our excess cash balances. As these were all short-term investments, approximately $112.1 million of the treasury bills matured during the first nine months of fiscal year 2018.</w:t>
      </w:r>
    </w:p>
    <w:p>
      <w:pPr>
        <w:spacing w:after="0" w:line="170"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9"/>
          <w:szCs w:val="19"/>
          <w:color w:val="auto"/>
        </w:rPr>
        <w:t>Cash of approximately $2.3 million was used in financing activities for the first nine months of fiscal year 2019, compared to cash used of approximately $19.7 million during the first nine months of fiscal year 2018. During the first nine months of fiscal year 2019, we used cash of approximately $2.6 million to pay dividends to and to purchase shares from noncontrolling members.</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During the first nine months of fiscal year 2019, we received approximately $0.3 million in capital contributions from the minority investor in the refined coal entity.</w:t>
      </w:r>
    </w:p>
    <w:p>
      <w:pPr>
        <w:spacing w:after="0" w:line="21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Cash used in financing activities totaled approximately $19.7 million for the first nine months of fiscal year 2018. During the first nine months of fiscal year 2018, we used cash of approximately $18.4 million to purchase approximately 253,000 shares of our common stock in open market transactions. During the first nine months of fiscal year 2018, we used cash of approximately $1.7 million to purchase membership interests from and pay dividends to noncontrolling members of One Earth. During the first nine months of fiscal year 2018, we received approximately $0.4 million in capital contributions from the minority investor in the refined coal entity.</w:t>
      </w:r>
    </w:p>
    <w:p>
      <w:pPr>
        <w:spacing w:after="0" w:line="21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We are investigating various uses for our excess cash and short-term investments. We have a stock buyback program, and given our current authorization level, can repurchase a total of approximately 350,000 shares. We also plan to seek and evaluate investment opportunities including energy related, agricultural or other ventures we believe fit our investment criteria in addition to investing in highly liquid short-term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changes, the price volatility and availability of corn, distillers grains, ethanol, non-food grade corn oil, gasoline, natural gas,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2019 (File No. 001-09097).</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100" w:firstLine="495"/>
        <w:spacing w:after="0" w:line="273" w:lineRule="auto"/>
        <w:rPr>
          <w:sz w:val="20"/>
          <w:szCs w:val="20"/>
          <w:color w:val="auto"/>
        </w:rPr>
      </w:pPr>
      <w:r>
        <w:rPr>
          <w:rFonts w:ascii="Arial" w:cs="Arial" w:eastAsia="Arial" w:hAnsi="Arial"/>
          <w:sz w:val="19"/>
          <w:szCs w:val="19"/>
          <w:color w:val="auto"/>
        </w:rPr>
        <w:t>We manage a portion of our risk with respect to the volatility of commodity prices inherent in the ethanol industry by using forward purchase and sale contracts. At October 31, 2019, One Earth and NuGen combined have forward purchase contracts for approximately 4.4 million bushels of corn, the principal raw material for their ethanol plants. One Earth and NuGen expect to take delivery of the corn through January 2020. At October 31, 2019, One Earth and NuGen combined have forward purchase contracts for approximately 1,067,000 MmBtu of natural gas. They expect to take delivery of the natural gas through February 2020. At October 31, 2019, One Earth and NuGen have combined sales commitments for approximately 18.9 million gallons of ethanol, approximately 48,500 tons of distillers grains and approximately 6.1 million pounds of non-food grade corn oil. One Earth and NuGen expect to deliver the majority of the ethanol, distillers grains and non-food grade corn oil through December 2019. Our exposure to market risk, which includes the impact of our risk management activities, is based on the estimated effect on pre-tax income starting on October 31, 2019 is as follows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Estimated Total</w:t>
            </w:r>
          </w:p>
        </w:tc>
        <w:tc>
          <w:tcPr>
            <w:tcW w:w="2040" w:type="dxa"/>
            <w:vAlign w:val="bottom"/>
          </w:tcPr>
          <w:p>
            <w:pPr>
              <w:spacing w:after="0"/>
              <w:rPr>
                <w:sz w:val="23"/>
                <w:szCs w:val="23"/>
                <w:color w:val="auto"/>
              </w:rPr>
            </w:pPr>
          </w:p>
        </w:tc>
        <w:tc>
          <w:tcPr>
            <w:tcW w:w="2840" w:type="dxa"/>
            <w:vAlign w:val="bottom"/>
            <w:gridSpan w:val="3"/>
          </w:tcPr>
          <w:p>
            <w:pPr>
              <w:ind w:left="320"/>
              <w:spacing w:after="0"/>
              <w:rPr>
                <w:sz w:val="20"/>
                <w:szCs w:val="20"/>
                <w:color w:val="auto"/>
              </w:rPr>
            </w:pPr>
            <w:r>
              <w:rPr>
                <w:rFonts w:ascii="Arial" w:cs="Arial" w:eastAsia="Arial" w:hAnsi="Arial"/>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3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Volume for the</w:t>
            </w:r>
          </w:p>
        </w:tc>
        <w:tc>
          <w:tcPr>
            <w:tcW w:w="2040" w:type="dxa"/>
            <w:vAlign w:val="bottom"/>
          </w:tcPr>
          <w:p>
            <w:pPr>
              <w:spacing w:after="0"/>
              <w:rPr>
                <w:sz w:val="21"/>
                <w:szCs w:val="21"/>
                <w:color w:val="auto"/>
              </w:rPr>
            </w:pPr>
          </w:p>
        </w:tc>
        <w:tc>
          <w:tcPr>
            <w:tcW w:w="2840" w:type="dxa"/>
            <w:vAlign w:val="bottom"/>
            <w:gridSpan w:val="3"/>
          </w:tcPr>
          <w:p>
            <w:pPr>
              <w:ind w:left="320"/>
              <w:spacing w:after="0" w:line="243" w:lineRule="exact"/>
              <w:rPr>
                <w:sz w:val="20"/>
                <w:szCs w:val="20"/>
                <w:color w:val="auto"/>
              </w:rPr>
            </w:pPr>
            <w:r>
              <w:rPr>
                <w:rFonts w:ascii="Arial" w:cs="Arial" w:eastAsia="Arial" w:hAnsi="Arial"/>
                <w:sz w:val="22"/>
                <w:szCs w:val="22"/>
                <w:b w:val="1"/>
                <w:bCs w:val="1"/>
                <w:color w:val="auto"/>
              </w:rPr>
              <w:t>Income From a 10%</w:t>
            </w:r>
          </w:p>
        </w:tc>
        <w:tc>
          <w:tcPr>
            <w:tcW w:w="0" w:type="dxa"/>
            <w:vAlign w:val="bottom"/>
          </w:tcPr>
          <w:p>
            <w:pPr>
              <w:spacing w:after="0"/>
              <w:rPr>
                <w:sz w:val="1"/>
                <w:szCs w:val="1"/>
                <w:color w:val="auto"/>
              </w:rPr>
            </w:pPr>
          </w:p>
        </w:tc>
      </w:tr>
      <w:tr>
        <w:trPr>
          <w:trHeight w:val="284"/>
        </w:trPr>
        <w:tc>
          <w:tcPr>
            <w:tcW w:w="4200" w:type="dxa"/>
            <w:vAlign w:val="bottom"/>
            <w:gridSpan w:val="3"/>
          </w:tcPr>
          <w:p>
            <w:pPr>
              <w:spacing w:after="0"/>
              <w:rPr>
                <w:sz w:val="20"/>
                <w:szCs w:val="20"/>
                <w:color w:val="auto"/>
              </w:rPr>
            </w:pPr>
            <w:r>
              <w:rPr>
                <w:rFonts w:ascii="Arial" w:cs="Arial" w:eastAsia="Arial" w:hAnsi="Arial"/>
                <w:sz w:val="22"/>
                <w:szCs w:val="22"/>
                <w:b w:val="1"/>
                <w:bCs w:val="1"/>
                <w:color w:val="auto"/>
              </w:rPr>
              <w:t>Commodity</w:t>
            </w:r>
          </w:p>
        </w:tc>
        <w:tc>
          <w:tcPr>
            <w:tcW w:w="2340" w:type="dxa"/>
            <w:vAlign w:val="bottom"/>
            <w:gridSpan w:val="2"/>
          </w:tcPr>
          <w:p>
            <w:pPr>
              <w:spacing w:after="0" w:line="283" w:lineRule="exact"/>
              <w:rPr>
                <w:sz w:val="20"/>
                <w:szCs w:val="20"/>
                <w:color w:val="auto"/>
              </w:rPr>
            </w:pPr>
            <w:r>
              <w:rPr>
                <w:rFonts w:ascii="Arial" w:cs="Arial" w:eastAsia="Arial" w:hAnsi="Arial"/>
                <w:sz w:val="20"/>
                <w:szCs w:val="20"/>
                <w:b w:val="1"/>
                <w:bCs w:val="1"/>
                <w:color w:val="auto"/>
              </w:rPr>
              <w:t xml:space="preserve">Next 12 Months </w:t>
            </w:r>
            <w:r>
              <w:rPr>
                <w:rFonts w:ascii="Arial" w:cs="Arial" w:eastAsia="Arial" w:hAnsi="Arial"/>
                <w:sz w:val="32"/>
                <w:szCs w:val="32"/>
                <w:b w:val="1"/>
                <w:bCs w:val="1"/>
                <w:color w:val="auto"/>
                <w:vertAlign w:val="superscript"/>
              </w:rPr>
              <w:t>(1)</w:t>
            </w:r>
          </w:p>
        </w:tc>
        <w:tc>
          <w:tcPr>
            <w:tcW w:w="2040" w:type="dxa"/>
            <w:vAlign w:val="bottom"/>
          </w:tcPr>
          <w:p>
            <w:pPr>
              <w:spacing w:after="0"/>
              <w:rPr>
                <w:sz w:val="20"/>
                <w:szCs w:val="20"/>
                <w:color w:val="auto"/>
              </w:rPr>
            </w:pPr>
            <w:r>
              <w:rPr>
                <w:rFonts w:ascii="Arial" w:cs="Arial" w:eastAsia="Arial" w:hAnsi="Arial"/>
                <w:sz w:val="22"/>
                <w:szCs w:val="22"/>
                <w:b w:val="1"/>
                <w:bCs w:val="1"/>
                <w:color w:val="auto"/>
              </w:rPr>
              <w:t>Unit of Measure</w:t>
            </w:r>
          </w:p>
        </w:tc>
        <w:tc>
          <w:tcPr>
            <w:tcW w:w="2840" w:type="dxa"/>
            <w:vAlign w:val="bottom"/>
            <w:gridSpan w:val="3"/>
          </w:tcPr>
          <w:p>
            <w:pPr>
              <w:ind w:left="320"/>
              <w:spacing w:after="0"/>
              <w:rPr>
                <w:sz w:val="20"/>
                <w:szCs w:val="20"/>
                <w:color w:val="auto"/>
              </w:rPr>
            </w:pPr>
            <w:r>
              <w:rPr>
                <w:rFonts w:ascii="Arial" w:cs="Arial" w:eastAsia="Arial" w:hAnsi="Arial"/>
                <w:sz w:val="22"/>
                <w:szCs w:val="22"/>
                <w:b w:val="1"/>
                <w:bCs w:val="1"/>
                <w:color w:val="auto"/>
                <w:w w:val="96"/>
              </w:rPr>
              <w:t>Adverse Change in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10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040" w:type="dxa"/>
            <w:vAlign w:val="bottom"/>
            <w:shd w:val="clear" w:color="auto" w:fill="E5FFFF"/>
          </w:tcPr>
          <w:p>
            <w:pPr>
              <w:jc w:val="right"/>
              <w:ind w:right="673"/>
              <w:spacing w:after="0" w:line="243" w:lineRule="exact"/>
              <w:rPr>
                <w:sz w:val="20"/>
                <w:szCs w:val="20"/>
                <w:color w:val="auto"/>
              </w:rPr>
            </w:pPr>
            <w:r>
              <w:rPr>
                <w:rFonts w:ascii="Arial" w:cs="Arial" w:eastAsia="Arial" w:hAnsi="Arial"/>
                <w:sz w:val="22"/>
                <w:szCs w:val="22"/>
                <w:color w:val="auto"/>
              </w:rPr>
              <w:t>242,000</w:t>
            </w:r>
          </w:p>
        </w:tc>
        <w:tc>
          <w:tcPr>
            <w:tcW w:w="300" w:type="dxa"/>
            <w:vAlign w:val="bottom"/>
            <w:shd w:val="clear" w:color="auto" w:fill="E5FFFF"/>
          </w:tcPr>
          <w:p>
            <w:pPr>
              <w:spacing w:after="0"/>
              <w:rPr>
                <w:sz w:val="21"/>
                <w:szCs w:val="21"/>
                <w:color w:val="auto"/>
              </w:rPr>
            </w:pPr>
          </w:p>
        </w:tc>
        <w:tc>
          <w:tcPr>
            <w:tcW w:w="2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Gallons</w:t>
            </w:r>
          </w:p>
        </w:tc>
        <w:tc>
          <w:tcPr>
            <w:tcW w:w="1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660" w:type="dxa"/>
            <w:vAlign w:val="bottom"/>
            <w:shd w:val="clear" w:color="auto" w:fill="E5FFFF"/>
          </w:tcPr>
          <w:p>
            <w:pPr>
              <w:jc w:val="right"/>
              <w:ind w:right="952"/>
              <w:spacing w:after="0" w:line="243" w:lineRule="exact"/>
              <w:rPr>
                <w:sz w:val="20"/>
                <w:szCs w:val="20"/>
                <w:color w:val="auto"/>
              </w:rPr>
            </w:pPr>
            <w:r>
              <w:rPr>
                <w:rFonts w:ascii="Arial" w:cs="Arial" w:eastAsia="Arial" w:hAnsi="Arial"/>
                <w:sz w:val="22"/>
                <w:szCs w:val="22"/>
                <w:color w:val="auto"/>
                <w:w w:val="86"/>
              </w:rPr>
              <w:t>36,717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2040" w:type="dxa"/>
            <w:vAlign w:val="bottom"/>
          </w:tcPr>
          <w:p>
            <w:pPr>
              <w:jc w:val="right"/>
              <w:ind w:right="673"/>
              <w:spacing w:after="0" w:line="243" w:lineRule="exact"/>
              <w:rPr>
                <w:sz w:val="20"/>
                <w:szCs w:val="20"/>
                <w:color w:val="auto"/>
              </w:rPr>
            </w:pPr>
            <w:r>
              <w:rPr>
                <w:rFonts w:ascii="Arial" w:cs="Arial" w:eastAsia="Arial" w:hAnsi="Arial"/>
                <w:sz w:val="22"/>
                <w:szCs w:val="22"/>
                <w:color w:val="auto"/>
              </w:rPr>
              <w:t>86,000</w:t>
            </w:r>
          </w:p>
        </w:tc>
        <w:tc>
          <w:tcPr>
            <w:tcW w:w="300" w:type="dxa"/>
            <w:vAlign w:val="bottom"/>
          </w:tcPr>
          <w:p>
            <w:pPr>
              <w:spacing w:after="0"/>
              <w:rPr>
                <w:sz w:val="21"/>
                <w:szCs w:val="21"/>
                <w:color w:val="auto"/>
              </w:rPr>
            </w:pPr>
          </w:p>
        </w:tc>
        <w:tc>
          <w:tcPr>
            <w:tcW w:w="2040" w:type="dxa"/>
            <w:vAlign w:val="bottom"/>
          </w:tcPr>
          <w:p>
            <w:pPr>
              <w:spacing w:after="0" w:line="243" w:lineRule="exact"/>
              <w:rPr>
                <w:sz w:val="20"/>
                <w:szCs w:val="20"/>
                <w:color w:val="auto"/>
              </w:rPr>
            </w:pPr>
            <w:r>
              <w:rPr>
                <w:rFonts w:ascii="Arial" w:cs="Arial" w:eastAsia="Arial" w:hAnsi="Arial"/>
                <w:sz w:val="22"/>
                <w:szCs w:val="22"/>
                <w:color w:val="auto"/>
              </w:rPr>
              <w:t>Bushels</w:t>
            </w:r>
          </w:p>
        </w:tc>
        <w:tc>
          <w:tcPr>
            <w:tcW w:w="11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660" w:type="dxa"/>
            <w:vAlign w:val="bottom"/>
          </w:tcPr>
          <w:p>
            <w:pPr>
              <w:jc w:val="right"/>
              <w:ind w:right="952"/>
              <w:spacing w:after="0" w:line="243" w:lineRule="exact"/>
              <w:rPr>
                <w:sz w:val="20"/>
                <w:szCs w:val="20"/>
                <w:color w:val="auto"/>
              </w:rPr>
            </w:pPr>
            <w:r>
              <w:rPr>
                <w:rFonts w:ascii="Arial" w:cs="Arial" w:eastAsia="Arial" w:hAnsi="Arial"/>
                <w:sz w:val="22"/>
                <w:szCs w:val="22"/>
                <w:color w:val="auto"/>
                <w:w w:val="86"/>
              </w:rPr>
              <w:t>32,781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040" w:type="dxa"/>
            <w:vAlign w:val="bottom"/>
            <w:shd w:val="clear" w:color="auto" w:fill="E5FFFF"/>
          </w:tcPr>
          <w:p>
            <w:pPr>
              <w:jc w:val="right"/>
              <w:ind w:right="673"/>
              <w:spacing w:after="0" w:line="243" w:lineRule="exact"/>
              <w:rPr>
                <w:sz w:val="20"/>
                <w:szCs w:val="20"/>
                <w:color w:val="auto"/>
              </w:rPr>
            </w:pPr>
            <w:r>
              <w:rPr>
                <w:rFonts w:ascii="Arial" w:cs="Arial" w:eastAsia="Arial" w:hAnsi="Arial"/>
                <w:sz w:val="22"/>
                <w:szCs w:val="22"/>
                <w:color w:val="auto"/>
              </w:rPr>
              <w:t>810</w:t>
            </w:r>
          </w:p>
        </w:tc>
        <w:tc>
          <w:tcPr>
            <w:tcW w:w="300" w:type="dxa"/>
            <w:vAlign w:val="bottom"/>
            <w:shd w:val="clear" w:color="auto" w:fill="E5FFFF"/>
          </w:tcPr>
          <w:p>
            <w:pPr>
              <w:spacing w:after="0"/>
              <w:rPr>
                <w:sz w:val="21"/>
                <w:szCs w:val="21"/>
                <w:color w:val="auto"/>
              </w:rPr>
            </w:pPr>
          </w:p>
        </w:tc>
        <w:tc>
          <w:tcPr>
            <w:tcW w:w="2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Tons</w:t>
            </w:r>
          </w:p>
        </w:tc>
        <w:tc>
          <w:tcPr>
            <w:tcW w:w="1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660" w:type="dxa"/>
            <w:vAlign w:val="bottom"/>
            <w:shd w:val="clear" w:color="auto" w:fill="E5FFFF"/>
          </w:tcPr>
          <w:p>
            <w:pPr>
              <w:jc w:val="right"/>
              <w:ind w:right="952"/>
              <w:spacing w:after="0" w:line="243" w:lineRule="exact"/>
              <w:rPr>
                <w:sz w:val="20"/>
                <w:szCs w:val="20"/>
                <w:color w:val="auto"/>
              </w:rPr>
            </w:pPr>
            <w:r>
              <w:rPr>
                <w:rFonts w:ascii="Arial" w:cs="Arial" w:eastAsia="Arial" w:hAnsi="Arial"/>
                <w:sz w:val="22"/>
                <w:szCs w:val="22"/>
                <w:color w:val="auto"/>
              </w:rPr>
              <w:t>8,256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2040" w:type="dxa"/>
            <w:vAlign w:val="bottom"/>
          </w:tcPr>
          <w:p>
            <w:pPr>
              <w:jc w:val="right"/>
              <w:ind w:right="673"/>
              <w:spacing w:after="0" w:line="243" w:lineRule="exact"/>
              <w:rPr>
                <w:sz w:val="20"/>
                <w:szCs w:val="20"/>
                <w:color w:val="auto"/>
              </w:rPr>
            </w:pPr>
            <w:r>
              <w:rPr>
                <w:rFonts w:ascii="Arial" w:cs="Arial" w:eastAsia="Arial" w:hAnsi="Arial"/>
                <w:sz w:val="22"/>
                <w:szCs w:val="22"/>
                <w:color w:val="auto"/>
              </w:rPr>
              <w:t>70,000</w:t>
            </w:r>
          </w:p>
        </w:tc>
        <w:tc>
          <w:tcPr>
            <w:tcW w:w="300" w:type="dxa"/>
            <w:vAlign w:val="bottom"/>
          </w:tcPr>
          <w:p>
            <w:pPr>
              <w:spacing w:after="0"/>
              <w:rPr>
                <w:sz w:val="21"/>
                <w:szCs w:val="21"/>
                <w:color w:val="auto"/>
              </w:rPr>
            </w:pPr>
          </w:p>
        </w:tc>
        <w:tc>
          <w:tcPr>
            <w:tcW w:w="2040" w:type="dxa"/>
            <w:vAlign w:val="bottom"/>
          </w:tcPr>
          <w:p>
            <w:pPr>
              <w:spacing w:after="0" w:line="243" w:lineRule="exact"/>
              <w:rPr>
                <w:sz w:val="20"/>
                <w:szCs w:val="20"/>
                <w:color w:val="auto"/>
              </w:rPr>
            </w:pPr>
            <w:r>
              <w:rPr>
                <w:rFonts w:ascii="Arial" w:cs="Arial" w:eastAsia="Arial" w:hAnsi="Arial"/>
                <w:sz w:val="22"/>
                <w:szCs w:val="22"/>
                <w:color w:val="auto"/>
              </w:rPr>
              <w:t>Pounds</w:t>
            </w:r>
          </w:p>
        </w:tc>
        <w:tc>
          <w:tcPr>
            <w:tcW w:w="11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660" w:type="dxa"/>
            <w:vAlign w:val="bottom"/>
          </w:tcPr>
          <w:p>
            <w:pPr>
              <w:jc w:val="right"/>
              <w:ind w:right="952"/>
              <w:spacing w:after="0" w:line="243" w:lineRule="exact"/>
              <w:rPr>
                <w:sz w:val="20"/>
                <w:szCs w:val="20"/>
                <w:color w:val="auto"/>
              </w:rPr>
            </w:pPr>
            <w:r>
              <w:rPr>
                <w:rFonts w:ascii="Arial" w:cs="Arial" w:eastAsia="Arial" w:hAnsi="Arial"/>
                <w:sz w:val="22"/>
                <w:szCs w:val="22"/>
                <w:color w:val="auto"/>
              </w:rPr>
              <w:t>1,639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040" w:type="dxa"/>
            <w:vAlign w:val="bottom"/>
            <w:shd w:val="clear" w:color="auto" w:fill="E5FFFF"/>
          </w:tcPr>
          <w:p>
            <w:pPr>
              <w:jc w:val="right"/>
              <w:ind w:right="673"/>
              <w:spacing w:after="0" w:line="243" w:lineRule="exact"/>
              <w:rPr>
                <w:sz w:val="20"/>
                <w:szCs w:val="20"/>
                <w:color w:val="auto"/>
              </w:rPr>
            </w:pPr>
            <w:r>
              <w:rPr>
                <w:rFonts w:ascii="Arial" w:cs="Arial" w:eastAsia="Arial" w:hAnsi="Arial"/>
                <w:sz w:val="22"/>
                <w:szCs w:val="22"/>
                <w:color w:val="auto"/>
              </w:rPr>
              <w:t>6,435</w:t>
            </w:r>
          </w:p>
        </w:tc>
        <w:tc>
          <w:tcPr>
            <w:tcW w:w="300" w:type="dxa"/>
            <w:vAlign w:val="bottom"/>
            <w:shd w:val="clear" w:color="auto" w:fill="E5FFFF"/>
          </w:tcPr>
          <w:p>
            <w:pPr>
              <w:spacing w:after="0"/>
              <w:rPr>
                <w:sz w:val="21"/>
                <w:szCs w:val="21"/>
                <w:color w:val="auto"/>
              </w:rPr>
            </w:pPr>
          </w:p>
        </w:tc>
        <w:tc>
          <w:tcPr>
            <w:tcW w:w="20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MmBtu</w:t>
            </w:r>
          </w:p>
        </w:tc>
        <w:tc>
          <w:tcPr>
            <w:tcW w:w="11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660" w:type="dxa"/>
            <w:vAlign w:val="bottom"/>
            <w:shd w:val="clear" w:color="auto" w:fill="E5FFFF"/>
          </w:tcPr>
          <w:p>
            <w:pPr>
              <w:jc w:val="right"/>
              <w:ind w:right="952"/>
              <w:spacing w:after="0" w:line="243" w:lineRule="exact"/>
              <w:rPr>
                <w:sz w:val="20"/>
                <w:szCs w:val="20"/>
                <w:color w:val="auto"/>
              </w:rPr>
            </w:pPr>
            <w:r>
              <w:rPr>
                <w:rFonts w:ascii="Arial" w:cs="Arial" w:eastAsia="Arial" w:hAnsi="Arial"/>
                <w:sz w:val="22"/>
                <w:szCs w:val="22"/>
                <w:color w:val="auto"/>
              </w:rPr>
              <w:t>1,295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hanging="328"/>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Based upon trailing twelve months ended October 31, 2019. Future period volumes will vary based upon market and plant conditions.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12"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12"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During the quarter ended October 31, 2019, there have been no material changes to the risk factors discussed in our Annual Report on Form 10-K for the year ended January 31, 2019.</w:t>
      </w:r>
    </w:p>
    <w:p>
      <w:pPr>
        <w:spacing w:after="0" w:line="167" w:lineRule="exact"/>
        <w:rPr>
          <w:sz w:val="20"/>
          <w:szCs w:val="20"/>
          <w:color w:val="auto"/>
        </w:rPr>
      </w:pPr>
    </w:p>
    <w:p>
      <w:pPr>
        <w:ind w:right="5320"/>
        <w:spacing w:after="0" w:line="438" w:lineRule="auto"/>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Dividend Policy</w:t>
      </w:r>
    </w:p>
    <w:p>
      <w:pPr>
        <w:spacing w:after="0" w:line="1"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REX did not pay dividends in the current or prior years. We currently have no restrictions on the payment of dividends. None of our consolidated subsidiaries have restrictions on their ability to pay dividends to us. During the first nine months of fiscal year 2019, One Earth and NuGen combined paid dividends to REX of approximately $10.6 million. During the first nine months of fiscal year 2018, One Earth and NuGen combined paid dividends to REX of approximately $5.1 million.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420" w:hanging="548"/>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0000EE"/>
        </w:rPr>
        <w:t>Rule 13a-14(a)/15d-14(a) Certifications</w:t>
      </w:r>
    </w:p>
    <w:p>
      <w:pPr>
        <w:spacing w:after="0" w:line="233" w:lineRule="exact"/>
        <w:rPr>
          <w:rFonts w:ascii="Arial" w:cs="Arial" w:eastAsia="Arial" w:hAnsi="Arial"/>
          <w:sz w:val="22"/>
          <w:szCs w:val="22"/>
          <w:color w:val="auto"/>
        </w:rPr>
      </w:pPr>
    </w:p>
    <w:p>
      <w:pPr>
        <w:ind w:left="1420" w:hanging="548"/>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0000EE"/>
        </w:rPr>
        <w:t>Section 1350 Certifications</w:t>
      </w:r>
    </w:p>
    <w:p>
      <w:pPr>
        <w:spacing w:after="0" w:line="206" w:lineRule="exact"/>
        <w:rPr>
          <w:sz w:val="20"/>
          <w:szCs w:val="20"/>
          <w:color w:val="auto"/>
        </w:rPr>
      </w:pPr>
    </w:p>
    <w:p>
      <w:pPr>
        <w:jc w:val="both"/>
        <w:ind w:left="1420" w:hanging="656"/>
        <w:spacing w:after="0" w:line="287" w:lineRule="auto"/>
        <w:tabs>
          <w:tab w:leader="none" w:pos="1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following information from REX American Resources Corporation Quarterly Report on Form 10-Q for the quarter ended October 31, 2019, formatted in 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620" w:type="dxa"/>
            <w:vAlign w:val="bottom"/>
            <w:gridSpan w:val="2"/>
          </w:tcPr>
          <w:p>
            <w:pPr>
              <w:ind w:left="200"/>
              <w:spacing w:after="0"/>
              <w:rPr>
                <w:sz w:val="20"/>
                <w:szCs w:val="20"/>
                <w:color w:val="auto"/>
              </w:rPr>
            </w:pPr>
            <w:r>
              <w:rPr>
                <w:rFonts w:ascii="Arial" w:cs="Arial" w:eastAsia="Arial" w:hAnsi="Arial"/>
                <w:sz w:val="22"/>
                <w:szCs w:val="22"/>
                <w:color w:val="auto"/>
                <w:w w:val="90"/>
              </w:rPr>
              <w:t>REX American Resources Corporation</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5"/>
        </w:trPr>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620" w:type="dxa"/>
            <w:vAlign w:val="bottom"/>
            <w:gridSpan w:val="2"/>
          </w:tcPr>
          <w:p>
            <w:pPr>
              <w:ind w:left="200"/>
              <w:spacing w:after="0"/>
              <w:rPr>
                <w:sz w:val="20"/>
                <w:szCs w:val="20"/>
                <w:color w:val="auto"/>
              </w:rPr>
            </w:pPr>
            <w:r>
              <w:rPr>
                <w:rFonts w:ascii="Arial" w:cs="Arial" w:eastAsia="Arial" w:hAnsi="Arial"/>
                <w:sz w:val="22"/>
                <w:szCs w:val="22"/>
                <w:color w:val="auto"/>
              </w:rPr>
              <w:t>Registrant</w:t>
            </w: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36"/>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4"/>
          </w:tcPr>
          <w:p>
            <w:pPr>
              <w:jc w:val="center"/>
              <w:ind w:right="1420"/>
              <w:spacing w:after="0"/>
              <w:rPr>
                <w:sz w:val="20"/>
                <w:szCs w:val="20"/>
                <w:color w:val="auto"/>
              </w:rPr>
            </w:pPr>
            <w:r>
              <w:rPr>
                <w:rFonts w:ascii="Arial" w:cs="Arial" w:eastAsia="Arial" w:hAnsi="Arial"/>
                <w:sz w:val="22"/>
                <w:szCs w:val="22"/>
                <w:b w:val="1"/>
                <w:bCs w:val="1"/>
                <w:color w:val="auto"/>
                <w:w w:val="86"/>
              </w:rPr>
              <w:t>Signature</w:t>
            </w:r>
          </w:p>
        </w:tc>
        <w:tc>
          <w:tcPr>
            <w:tcW w:w="22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2280" w:type="dxa"/>
            <w:vAlign w:val="bottom"/>
            <w:gridSpan w:val="3"/>
          </w:tcPr>
          <w:p>
            <w:pPr>
              <w:jc w:val="center"/>
              <w:ind w:right="560"/>
              <w:spacing w:after="0"/>
              <w:rPr>
                <w:sz w:val="20"/>
                <w:szCs w:val="20"/>
                <w:color w:val="auto"/>
              </w:rPr>
            </w:pPr>
            <w:r>
              <w:rPr>
                <w:rFonts w:ascii="Arial" w:cs="Arial" w:eastAsia="Arial" w:hAnsi="Arial"/>
                <w:sz w:val="22"/>
                <w:szCs w:val="22"/>
                <w:b w:val="1"/>
                <w:bCs w:val="1"/>
                <w:color w:val="auto"/>
                <w:w w:val="92"/>
              </w:rPr>
              <w:t>Date</w:t>
            </w:r>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6"/>
        </w:trPr>
        <w:tc>
          <w:tcPr>
            <w:tcW w:w="300" w:type="dxa"/>
            <w:vAlign w:val="bottom"/>
          </w:tcPr>
          <w:p>
            <w:pPr>
              <w:spacing w:after="0"/>
              <w:rPr>
                <w:sz w:val="24"/>
                <w:szCs w:val="24"/>
                <w:color w:val="auto"/>
              </w:rPr>
            </w:pPr>
          </w:p>
        </w:tc>
        <w:tc>
          <w:tcPr>
            <w:tcW w:w="3000" w:type="dxa"/>
            <w:vAlign w:val="bottom"/>
            <w:gridSpan w:val="6"/>
          </w:tcPr>
          <w:p>
            <w:pPr>
              <w:jc w:val="center"/>
              <w:ind w:right="720"/>
              <w:spacing w:after="0"/>
              <w:rPr>
                <w:sz w:val="20"/>
                <w:szCs w:val="20"/>
                <w:color w:val="auto"/>
              </w:rPr>
            </w:pPr>
            <w:r>
              <w:rPr>
                <w:rFonts w:ascii="Arial" w:cs="Arial" w:eastAsia="Arial" w:hAnsi="Arial"/>
                <w:sz w:val="22"/>
                <w:szCs w:val="22"/>
                <w:color w:val="auto"/>
                <w:w w:val="92"/>
              </w:rPr>
              <w:t>/s/ Zafar Rizvi</w:t>
            </w:r>
          </w:p>
        </w:tc>
        <w:tc>
          <w:tcPr>
            <w:tcW w:w="5840" w:type="dxa"/>
            <w:vAlign w:val="bottom"/>
            <w:gridSpan w:val="3"/>
          </w:tcPr>
          <w:p>
            <w:pPr>
              <w:ind w:left="720"/>
              <w:spacing w:after="0"/>
              <w:rPr>
                <w:sz w:val="20"/>
                <w:szCs w:val="20"/>
                <w:color w:val="auto"/>
              </w:rPr>
            </w:pPr>
            <w:r>
              <w:rPr>
                <w:rFonts w:ascii="Arial" w:cs="Arial" w:eastAsia="Arial" w:hAnsi="Arial"/>
                <w:sz w:val="22"/>
                <w:szCs w:val="22"/>
                <w:color w:val="auto"/>
              </w:rPr>
              <w:t>Chief Executive Officer and President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4"/>
        </w:trPr>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3"/>
              </w:rPr>
              <w:t>(Zafar Rizvi)</w:t>
            </w:r>
          </w:p>
        </w:tc>
        <w:tc>
          <w:tcPr>
            <w:tcW w:w="1240" w:type="dxa"/>
            <w:vAlign w:val="bottom"/>
            <w:gridSpan w:val="2"/>
          </w:tcPr>
          <w:p>
            <w:pPr>
              <w:spacing w:after="0"/>
              <w:rPr>
                <w:sz w:val="23"/>
                <w:szCs w:val="23"/>
                <w:color w:val="auto"/>
              </w:rPr>
            </w:pPr>
          </w:p>
        </w:tc>
        <w:tc>
          <w:tcPr>
            <w:tcW w:w="5840" w:type="dxa"/>
            <w:vAlign w:val="bottom"/>
            <w:gridSpan w:val="3"/>
          </w:tcPr>
          <w:p>
            <w:pPr>
              <w:ind w:left="900"/>
              <w:spacing w:after="0"/>
              <w:rPr>
                <w:sz w:val="20"/>
                <w:szCs w:val="20"/>
                <w:color w:val="auto"/>
              </w:rPr>
            </w:pPr>
            <w:r>
              <w:rPr>
                <w:rFonts w:ascii="Arial" w:cs="Arial" w:eastAsia="Arial" w:hAnsi="Arial"/>
                <w:sz w:val="22"/>
                <w:szCs w:val="22"/>
                <w:color w:val="auto"/>
              </w:rPr>
              <w:t>(Chief Executive Officer)</w:t>
            </w:r>
          </w:p>
        </w:tc>
        <w:tc>
          <w:tcPr>
            <w:tcW w:w="2280" w:type="dxa"/>
            <w:vAlign w:val="bottom"/>
            <w:gridSpan w:val="3"/>
          </w:tcPr>
          <w:p>
            <w:pPr>
              <w:jc w:val="center"/>
              <w:ind w:right="560"/>
              <w:spacing w:after="0"/>
              <w:rPr>
                <w:sz w:val="20"/>
                <w:szCs w:val="20"/>
                <w:color w:val="auto"/>
              </w:rPr>
            </w:pPr>
            <w:r>
              <w:rPr>
                <w:rFonts w:ascii="Arial" w:cs="Arial" w:eastAsia="Arial" w:hAnsi="Arial"/>
                <w:sz w:val="22"/>
                <w:szCs w:val="22"/>
                <w:color w:val="auto"/>
                <w:w w:val="88"/>
              </w:rPr>
              <w:t>December 5, 2019</w:t>
            </w:r>
          </w:p>
        </w:tc>
      </w:tr>
      <w:tr>
        <w:trPr>
          <w:trHeight w:val="436"/>
        </w:trPr>
        <w:tc>
          <w:tcPr>
            <w:tcW w:w="3300" w:type="dxa"/>
            <w:vAlign w:val="bottom"/>
            <w:gridSpan w:val="7"/>
          </w:tcPr>
          <w:p>
            <w:pPr>
              <w:jc w:val="center"/>
              <w:ind w:right="420"/>
              <w:spacing w:after="0"/>
              <w:rPr>
                <w:sz w:val="20"/>
                <w:szCs w:val="20"/>
                <w:color w:val="auto"/>
              </w:rPr>
            </w:pPr>
            <w:r>
              <w:rPr>
                <w:rFonts w:ascii="Arial" w:cs="Arial" w:eastAsia="Arial" w:hAnsi="Arial"/>
                <w:sz w:val="22"/>
                <w:szCs w:val="22"/>
                <w:color w:val="auto"/>
                <w:w w:val="89"/>
              </w:rPr>
              <w:t>/s/ Douglas L. Bruggeman</w:t>
            </w:r>
          </w:p>
        </w:tc>
        <w:tc>
          <w:tcPr>
            <w:tcW w:w="5840" w:type="dxa"/>
            <w:vAlign w:val="bottom"/>
            <w:gridSpan w:val="3"/>
          </w:tcPr>
          <w:p>
            <w:pPr>
              <w:ind w:left="720"/>
              <w:spacing w:after="0"/>
              <w:rPr>
                <w:sz w:val="20"/>
                <w:szCs w:val="20"/>
                <w:color w:val="auto"/>
              </w:rPr>
            </w:pPr>
            <w:r>
              <w:rPr>
                <w:rFonts w:ascii="Arial" w:cs="Arial" w:eastAsia="Arial" w:hAnsi="Arial"/>
                <w:sz w:val="22"/>
                <w:szCs w:val="22"/>
                <w:color w:val="auto"/>
              </w:rPr>
              <w:t>Vice President, Finance and Treasurer</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4"/>
        </w:trPr>
        <w:tc>
          <w:tcPr>
            <w:tcW w:w="30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720" w:type="dxa"/>
            <w:vAlign w:val="bottom"/>
          </w:tcPr>
          <w:p>
            <w:pPr>
              <w:spacing w:after="0"/>
              <w:rPr>
                <w:sz w:val="23"/>
                <w:szCs w:val="23"/>
                <w:color w:val="auto"/>
              </w:rPr>
            </w:pPr>
          </w:p>
        </w:tc>
        <w:tc>
          <w:tcPr>
            <w:tcW w:w="5840" w:type="dxa"/>
            <w:vAlign w:val="bottom"/>
            <w:gridSpan w:val="3"/>
          </w:tcPr>
          <w:p>
            <w:pPr>
              <w:ind w:left="900"/>
              <w:spacing w:after="0"/>
              <w:rPr>
                <w:sz w:val="20"/>
                <w:szCs w:val="20"/>
                <w:color w:val="auto"/>
              </w:rPr>
            </w:pPr>
            <w:r>
              <w:rPr>
                <w:rFonts w:ascii="Arial" w:cs="Arial" w:eastAsia="Arial" w:hAnsi="Arial"/>
                <w:sz w:val="22"/>
                <w:szCs w:val="22"/>
                <w:color w:val="auto"/>
              </w:rPr>
              <w:t>(Chief Financial Officer)</w:t>
            </w:r>
          </w:p>
        </w:tc>
        <w:tc>
          <w:tcPr>
            <w:tcW w:w="2280" w:type="dxa"/>
            <w:vAlign w:val="bottom"/>
            <w:gridSpan w:val="3"/>
          </w:tcPr>
          <w:p>
            <w:pPr>
              <w:jc w:val="center"/>
              <w:ind w:right="560"/>
              <w:spacing w:after="0"/>
              <w:rPr>
                <w:sz w:val="20"/>
                <w:szCs w:val="20"/>
                <w:color w:val="auto"/>
              </w:rPr>
            </w:pPr>
            <w:r>
              <w:rPr>
                <w:rFonts w:ascii="Arial" w:cs="Arial" w:eastAsia="Arial" w:hAnsi="Arial"/>
                <w:sz w:val="22"/>
                <w:szCs w:val="22"/>
                <w:color w:val="auto"/>
                <w:w w:val="88"/>
              </w:rPr>
              <w:t>December 5, 2019</w:t>
            </w:r>
          </w:p>
        </w:tc>
      </w:tr>
      <w:tr>
        <w:trPr>
          <w:trHeight w:val="432"/>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gridSpan w:val="2"/>
          </w:tcPr>
          <w:p>
            <w:pPr>
              <w:ind w:left="2300"/>
              <w:spacing w:after="0"/>
              <w:rPr>
                <w:sz w:val="20"/>
                <w:szCs w:val="20"/>
                <w:color w:val="auto"/>
              </w:rPr>
            </w:pPr>
            <w:r>
              <w:rPr>
                <w:rFonts w:ascii="Arial" w:cs="Arial" w:eastAsia="Arial" w:hAnsi="Arial"/>
                <w:sz w:val="22"/>
                <w:szCs w:val="22"/>
                <w:color w:val="auto"/>
              </w:rPr>
              <w:t>41</w:t>
            </w:r>
          </w:p>
        </w:tc>
        <w:tc>
          <w:tcPr>
            <w:tcW w:w="3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0"/>
        </w:trPr>
        <w:tc>
          <w:tcPr>
            <w:tcW w:w="30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20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20" w:firstLine="656"/>
        <w:spacing w:after="0" w:line="342" w:lineRule="auto"/>
        <w:tabs>
          <w:tab w:leader="none" w:pos="9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656"/>
        <w:spacing w:after="0" w:line="308" w:lineRule="auto"/>
        <w:tabs>
          <w:tab w:leader="none" w:pos="9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 w:firstLine="656"/>
        <w:spacing w:after="0" w:line="264" w:lineRule="auto"/>
        <w:tabs>
          <w:tab w:leader="none" w:pos="9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ind w:left="660" w:right="160" w:firstLine="320"/>
        <w:spacing w:after="0" w:line="264" w:lineRule="auto"/>
        <w:tabs>
          <w:tab w:leader="none" w:pos="12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firstLine="320"/>
        <w:spacing w:after="0" w:line="264" w:lineRule="auto"/>
        <w:tabs>
          <w:tab w:leader="none" w:pos="12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500" w:firstLine="320"/>
        <w:spacing w:after="0" w:line="342" w:lineRule="auto"/>
        <w:tabs>
          <w:tab w:leader="none" w:pos="12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60" w:firstLine="320"/>
        <w:spacing w:after="0" w:line="264" w:lineRule="auto"/>
        <w:tabs>
          <w:tab w:leader="none" w:pos="12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left="-656" w:firstLine="656"/>
        <w:spacing w:after="0" w:line="308" w:lineRule="auto"/>
        <w:tabs>
          <w:tab w:leader="none" w:pos="25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540" w:firstLine="320"/>
        <w:spacing w:after="0" w:line="308" w:lineRule="auto"/>
        <w:tabs>
          <w:tab w:leader="none" w:pos="563"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220" w:firstLine="320"/>
        <w:spacing w:after="0" w:line="277" w:lineRule="auto"/>
        <w:tabs>
          <w:tab w:leader="none" w:pos="57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Date: December 5, 2019</w:t>
      </w:r>
    </w:p>
    <w:p>
      <w:pPr>
        <w:spacing w:after="0" w:line="225"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620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84"/>
          </w:cols>
          <w:pgMar w:left="896" w:top="409" w:right="41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firstLine="656"/>
        <w:spacing w:after="0" w:line="342" w:lineRule="auto"/>
        <w:tabs>
          <w:tab w:leader="none" w:pos="91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656"/>
        <w:spacing w:after="0" w:line="308" w:lineRule="auto"/>
        <w:tabs>
          <w:tab w:leader="none" w:pos="9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656"/>
        <w:spacing w:after="0" w:line="264" w:lineRule="auto"/>
        <w:tabs>
          <w:tab w:leader="none" w:pos="9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ind w:left="660" w:right="140" w:firstLine="320"/>
        <w:spacing w:after="0" w:line="264" w:lineRule="auto"/>
        <w:tabs>
          <w:tab w:leader="none" w:pos="12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firstLine="320"/>
        <w:spacing w:after="0" w:line="264" w:lineRule="auto"/>
        <w:tabs>
          <w:tab w:leader="none" w:pos="12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80" w:firstLine="320"/>
        <w:spacing w:after="0" w:line="342" w:lineRule="auto"/>
        <w:tabs>
          <w:tab w:leader="none" w:pos="122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40" w:firstLine="320"/>
        <w:spacing w:after="0" w:line="264" w:lineRule="auto"/>
        <w:tabs>
          <w:tab w:leader="none" w:pos="12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44" w:name="page45"/>
    <w:bookmarkEnd w:id="44"/>
    <w:p>
      <w:pPr>
        <w:ind w:left="-656" w:firstLine="656"/>
        <w:spacing w:after="0" w:line="308"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540" w:firstLine="320"/>
        <w:spacing w:after="0" w:line="308" w:lineRule="auto"/>
        <w:tabs>
          <w:tab w:leader="none" w:pos="56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220" w:firstLine="320"/>
        <w:spacing w:after="0" w:line="277" w:lineRule="auto"/>
        <w:tabs>
          <w:tab w:leader="none" w:pos="5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Date: December 5, 2019</w:t>
      </w:r>
    </w:p>
    <w:p>
      <w:pPr>
        <w:spacing w:after="0" w:line="225"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620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620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84"/>
          </w:cols>
          <w:pgMar w:left="896" w:top="409" w:right="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October 31, 2019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3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2019-12-05T08:44:17Z</dcterms:created>
  <dcterms:modified xsi:type="dcterms:W3CDTF">2019-12-05T08:44:17Z</dcterms:modified>
</cp:coreProperties>
</file>